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Приложение №1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к Дополнительному соглашению № 1 от 21.07.2022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 xml:space="preserve"> к Договору № </w:t>
      </w:r>
      <w:r>
        <w:rPr>
          <w:b/>
        </w:rPr>
        <w:t>100/ПД/1</w:t>
      </w:r>
      <w:r>
        <w:t xml:space="preserve"> от 21.07.2022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Состав работ. План работ. Порядок оплаты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  <w:r>
        <w:t>Работы по теме: “Объект №6. «Сети инженерно-технического обеспечения объекта капитального строительства. Инженерные сети, дороги, расположенные на земельных участках № 1 и № 2».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  <w:r>
        <w:t>Цель работ - определение границ полосы отвода линейных объектов и зоны размещения инженерных сооружений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</w:rPr>
      </w:pPr>
      <w:r>
        <w:rPr>
          <w:b/>
        </w:rPr>
        <w:t>Состав работ*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b/>
        </w:rPr>
      </w:pPr>
      <w:r>
        <w:rPr>
          <w:b/>
          <w:u w:val="single"/>
        </w:rPr>
        <w:t>Этап 1</w:t>
      </w:r>
      <w:r>
        <w:rPr>
          <w:b/>
        </w:rPr>
        <w:t xml:space="preserve">. </w:t>
      </w:r>
    </w:p>
    <w:tbl>
      <w:tblPr>
        <w:tblStyle w:val="32"/>
        <w:tblW w:w="955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556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center"/>
              <w:rPr>
                <w:b/>
              </w:rPr>
            </w:pPr>
            <w:r>
              <w:rPr>
                <w:b/>
              </w:rPr>
              <w:t>Стадия предварительные проектные решения. Концепция на линейные объекты капитального строительства гостиничного обслуживания.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9556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 xml:space="preserve">Пояснительная записка с описанием принципиальных решений линейных объектов, особенности планировочной организации территории. Определение потребности в санитарно-защитных зонах. Перечень норм и правил для учета в задании на разработку Проектной документации. Расчет потребности в объемах потребления (по объектно) на электроснабжение, теплоснабжение,водоснабжение, канализование.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556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Схема размещения линейных объектов. Выполняется в границах ГПЗУ.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556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 xml:space="preserve">Схема организации технологических и пожарных проездов и подъездов для линейных объектов. Выполняется в границах ГПЗУ. Содержит информацию о решениях направленных на организацию движения пожарной техники, технологических потоков, узлы пересечения пешеходных трасс. Решение должно обосновывать оптимальность разведения потоков направленных на организацию гостиничной деятельности и инженерного обеспечения территории.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556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 xml:space="preserve">Упрощенные схемы для определения ширины полосы отвода с примерами поперечных разрезов по сети и указанием нормативных отступов. Определение мест, где требуется разработка СТУ на общестроительные решения по причине не возможности раскладки сети.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9556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 xml:space="preserve">Схема возможного размещения инженерных сооружений на сети.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556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Составление перечня основных задач и согласований для выполнения всего инженерного обеспечения территории в границах участка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9556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 xml:space="preserve">Составление перечня проектных работ по инженерным сетям и сооружениям для получения разрешения на строительство.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556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Разработка технических заданий на выполнение разделов Проектной документации по Разделу 5.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b/>
          <w:u w:val="single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b/>
        </w:rPr>
      </w:pPr>
      <w:r>
        <w:rPr>
          <w:b/>
          <w:u w:val="single"/>
        </w:rPr>
        <w:t>Этап 2</w:t>
      </w:r>
      <w:r>
        <w:rPr>
          <w:b/>
        </w:rPr>
        <w:t xml:space="preserve">.  </w:t>
      </w:r>
    </w:p>
    <w:tbl>
      <w:tblPr>
        <w:tblStyle w:val="33"/>
        <w:tblW w:w="960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b/>
              </w:rPr>
            </w:pPr>
            <w:r>
              <w:rPr>
                <w:b/>
              </w:rPr>
              <w:t>Стадия Проектная документация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960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Раздел 5. 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Подраздел 1. Система электроснабжения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Часть 2. Наружное электроснабжение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Подраздел 2. Система водоснабжения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Часть 2. Наружное водоснабжение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Подраздел 3. Система водоотведения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Часть 2. Наружное водоотведение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70C0"/>
              </w:rPr>
            </w:pPr>
            <w:r>
              <w:rPr>
                <w:color w:val="000000"/>
              </w:rPr>
              <w:t>Подраздел 4. Отопление, вентиляция и кондиционирование воздуха, тепловые сети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9606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  <w:color w:val="0070C0"/>
              </w:rPr>
            </w:pPr>
            <w:r>
              <w:rPr>
                <w:color w:val="000000"/>
              </w:rPr>
              <w:t>Часть 2. Наружные тепловые сети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96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t>Подраздел 5. Сети связи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96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t>Часть 2. Наружные сети связи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960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>Подраздел 6. Сети газоснабжения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606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AFAF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>Часть 2. Наружные сети газоснабжения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b/>
        </w:rPr>
      </w:pPr>
    </w:p>
    <w:p>
      <w:pPr>
        <w:rPr>
          <w:color w:val="0070C0"/>
        </w:rPr>
      </w:pPr>
      <w:bookmarkStart w:id="2" w:name="_GoBack"/>
      <w:bookmarkEnd w:id="2"/>
      <w:r>
        <w:rPr>
          <w:color w:val="0070C0"/>
        </w:rPr>
        <w:br w:type="page"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70C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Приложение №2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к Дополнительному соглашению № 1 от 21.07.2022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 xml:space="preserve"> к Договору № </w:t>
      </w:r>
      <w:r>
        <w:rPr>
          <w:b/>
        </w:rPr>
        <w:t>100/ПД/1</w:t>
      </w:r>
      <w:r>
        <w:t xml:space="preserve"> от 21.07.2022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Исходные данные.Общие данные об объекте.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</w:rPr>
      </w:pPr>
      <w:r>
        <w:rPr>
          <w:b/>
        </w:rPr>
        <w:t>Исходные данные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rPr>
          <w:u w:val="single"/>
        </w:rPr>
      </w:pPr>
      <w:r>
        <w:rPr>
          <w:u w:val="single"/>
        </w:rPr>
        <w:t>Предоставляется при начале Этапа 1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Задание на проектирование;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Градостроительный план земельного участка (ГПЗУ);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Кадастровый паспорт на участок проектирования;</w:t>
      </w:r>
    </w:p>
    <w:p>
      <w:pPr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Правоустанавливающие документы на земельный участок;</w:t>
      </w:r>
    </w:p>
    <w:p>
      <w:pPr>
        <w:keepNext/>
        <w:keepLines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Данные об установленных в отношении земельного участка санитарно-защитных зонах;</w:t>
      </w:r>
    </w:p>
    <w:p>
      <w:pPr>
        <w:keepNext/>
        <w:keepLines/>
        <w:numPr>
          <w:ilvl w:val="0"/>
          <w:numId w:val="1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Технический отчет по результатам инженерно-геодезических изысканиях, включая действующую геоподоснову (топосъемка М 1:500)-редактируемый формат.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rPr>
          <w:u w:val="single"/>
        </w:rPr>
      </w:pPr>
      <w:r>
        <w:rPr>
          <w:u w:val="single"/>
        </w:rPr>
        <w:t>Предоставляется не позднее четвертой недели после начала Этапа 1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Договорные документы на подключение к инженерным системам (со всеми приложениями);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  <w:r>
        <w:rPr>
          <w:shd w:val="clear" w:color="auto" w:fill="FAFAFA"/>
        </w:rPr>
        <w:t>Технические условия на подключение к инженерным сетям (получаются балансодержателем объекта)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  <w:r>
        <w:t>Технический отчет по результатам инженерно-геологических изысканий;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  <w:r>
        <w:t>Технический отчет по результатам инженерно-гидрометеорологических изысканий;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rPr>
          <w:u w:val="single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rPr>
          <w:u w:val="single"/>
        </w:rPr>
      </w:pPr>
      <w:r>
        <w:rPr>
          <w:u w:val="single"/>
        </w:rPr>
        <w:t>Предоставляется при начале Этапа 2</w:t>
      </w:r>
    </w:p>
    <w:p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Дендрология объекта включая участки трасс инженерных коммуникаций; перечетная ведомость;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Акт выбора земельного участка (для линейных объектов и внеплощадочных сетей);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Отчет о инженерно-экологических изысканиях, включая климатические характеристики по району проектирования;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Технический отчет по результатам геофизических изысканий;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Технический отчет по результатам археологических изысканий;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rPr>
          <w:sz w:val="14"/>
          <w:szCs w:val="14"/>
        </w:rPr>
        <w:t xml:space="preserve"> </w:t>
      </w:r>
      <w:r>
        <w:t>Технический отчет по результатам инженерно-геотехнических изысканий;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Справка о фоновых концентрация вредных веществ;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Оценка воздействия на окружающую среду, включая справку по шумовому фону;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Заключение о радиационно-экологической обстановке;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Заключение по геохимическим исследованиям поверхностных почв и грунтов;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Сведения о реальных концентрациях вредных веществ в атмосфере;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Заключение об отсутствии полезных ископаемых на участке строительства;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</w:pPr>
      <w:r>
        <w:t>Заключения по условиям проектирования: Роспотребнадзор, УГПН МЧС, ГО ЧС, Департамент  природопользования;</w:t>
      </w:r>
    </w:p>
    <w:p>
      <w:pPr>
        <w:numPr>
          <w:ilvl w:val="0"/>
          <w:numId w:val="3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AFAFA"/>
        <w:jc w:val="both"/>
        <w:rPr>
          <w:color w:val="000000" w:themeColor="text1"/>
        </w:rPr>
      </w:pPr>
      <w:r>
        <w:rPr>
          <w:color w:val="000000" w:themeColor="text1"/>
        </w:rPr>
        <w:t>Справка рыбохозяйственной характеристики водного объекта, ручья.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 w:themeColor="text1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b/>
        </w:rPr>
      </w:pPr>
      <w:r>
        <w:rPr>
          <w:b/>
        </w:rPr>
        <w:t>Общие данные об объекте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</w:p>
    <w:tbl>
      <w:tblPr>
        <w:tblStyle w:val="37"/>
        <w:tblW w:w="93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8"/>
        <w:gridCol w:w="65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>Заказчик</w:t>
            </w:r>
          </w:p>
        </w:tc>
        <w:tc>
          <w:tcPr>
            <w:tcW w:w="652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  <w:r>
              <w:t xml:space="preserve"> ООО "АРХЫЗ 1700"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 xml:space="preserve">Стадия </w:t>
            </w:r>
          </w:p>
        </w:tc>
        <w:tc>
          <w:tcPr>
            <w:tcW w:w="652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Стадия предварительные проектные решения, концепция. Стадия Проектная документация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 xml:space="preserve">Адрес </w:t>
            </w:r>
          </w:p>
        </w:tc>
        <w:tc>
          <w:tcPr>
            <w:tcW w:w="652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ind w:left="34"/>
              <w:jc w:val="both"/>
            </w:pPr>
            <w:r>
              <w:t>Российская Федерация, Карачаево-Черкесская республика, район Зеленчукский, Архызское сельское поселение, урочище Лунная поляна.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 xml:space="preserve">Название результата работ для этапа 1 </w:t>
            </w:r>
          </w:p>
        </w:tc>
        <w:tc>
          <w:tcPr>
            <w:tcW w:w="6521" w:type="dxa"/>
          </w:tcPr>
          <w:p>
            <w:pPr>
              <w:pStyle w:val="5"/>
            </w:pPr>
            <w:r>
              <w:t>“ Объект №6. «Сети инженерно-технического обеспечения объекта капитального строительства. Инженерные сети, дороги, расположенные на земельных участках № 1 и № 2».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>Название результата работ для этапа 2</w:t>
            </w:r>
          </w:p>
        </w:tc>
        <w:tc>
          <w:tcPr>
            <w:tcW w:w="6521" w:type="dxa"/>
          </w:tcPr>
          <w:p>
            <w:pPr>
              <w:pStyle w:val="5"/>
            </w:pPr>
            <w:r>
              <w:t>“ Объект №6. «Сети инженерно-технического обеспечения объекта капитального строительства. Инженерные сети, дороги, расположенные на земельных участках № 1 и № 2».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>Особые условия участка</w:t>
            </w:r>
          </w:p>
        </w:tc>
        <w:tc>
          <w:tcPr>
            <w:tcW w:w="652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Участок находится на территории особой экономической зоны. Часть участка находится в границах водоохраной зоны.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>Основные показатели объекта</w:t>
            </w:r>
          </w:p>
        </w:tc>
        <w:tc>
          <w:tcPr>
            <w:tcW w:w="652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hd w:val="clear" w:color="auto" w:fill="FAFAFA"/>
              </w:rPr>
            </w:pPr>
            <w:r>
              <w:rPr>
                <w:shd w:val="clear" w:color="auto" w:fill="FAFAFA"/>
              </w:rPr>
              <w:t>22000 м</w:t>
            </w:r>
            <w:r>
              <w:rPr>
                <w:shd w:val="clear" w:color="auto" w:fill="FAFAFA"/>
                <w:vertAlign w:val="superscript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798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-37"/>
              <w:jc w:val="both"/>
            </w:pPr>
            <w:r>
              <w:t>Требования к чертежам</w:t>
            </w:r>
          </w:p>
        </w:tc>
        <w:tc>
          <w:tcPr>
            <w:tcW w:w="6521" w:type="dxa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В соответствии с ГОСТ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</w:pPr>
    </w:p>
    <w:tbl>
      <w:tblPr>
        <w:tblStyle w:val="31"/>
        <w:tblW w:w="102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  <w:gridCol w:w="51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070" w:type="dxa"/>
            <w:tcBorders>
              <w:top w:val="nil"/>
              <w:left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rPr>
                <w:b/>
              </w:rPr>
              <w:t>От ПОДРЯДЧИКА</w:t>
            </w:r>
            <w:r>
              <w:t xml:space="preserve">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t>ООО “Арбат-Менеджмент”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t>Управляющий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t>_________________/А.С.Окрушко /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t xml:space="preserve">              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</w:tc>
        <w:tc>
          <w:tcPr>
            <w:tcW w:w="5143" w:type="dxa"/>
            <w:tcBorders>
              <w:top w:val="nil"/>
              <w:left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rPr>
                <w:b/>
              </w:rPr>
              <w:t>От СУБПОДРЯДЧИКА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</w:pPr>
            <w:r>
              <w:t>ООО ”Технология”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t xml:space="preserve"> Директор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  <w:r>
              <w:t xml:space="preserve">_________________/М.А. Репин /                                    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</w:tc>
      </w:tr>
    </w:tbl>
    <w:tbl>
      <w:tblPr>
        <w:tblStyle w:val="38"/>
        <w:tblW w:w="203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0"/>
        <w:gridCol w:w="5070"/>
        <w:gridCol w:w="5070"/>
        <w:gridCol w:w="51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070" w:type="dxa"/>
            <w:tcBorders>
              <w:top w:val="nil"/>
              <w:left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</w:tc>
        <w:tc>
          <w:tcPr>
            <w:tcW w:w="5070" w:type="dxa"/>
            <w:tcBorders>
              <w:top w:val="nil"/>
              <w:left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jc w:val="both"/>
            </w:pPr>
          </w:p>
        </w:tc>
        <w:tc>
          <w:tcPr>
            <w:tcW w:w="5070" w:type="dxa"/>
            <w:tcBorders>
              <w:top w:val="nil"/>
              <w:left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</w:p>
        </w:tc>
        <w:tc>
          <w:tcPr>
            <w:tcW w:w="5143" w:type="dxa"/>
            <w:tcBorders>
              <w:top w:val="nil"/>
              <w:left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color w:val="0070C0"/>
        </w:rPr>
      </w:pPr>
    </w:p>
    <w:p>
      <w:pPr>
        <w:rPr>
          <w:color w:val="0070C0"/>
        </w:rPr>
      </w:pPr>
      <w:r>
        <w:rPr>
          <w:color w:val="0070C0"/>
        </w:rPr>
        <w:br w:type="page"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color w:val="0070C0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Приложение №3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>к Дополнительному соглашению № 1 от 21.07.2022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  <w:r>
        <w:t xml:space="preserve"> к Договору № </w:t>
      </w:r>
      <w:r>
        <w:rPr>
          <w:b/>
        </w:rPr>
        <w:t>100/ПД</w:t>
      </w:r>
      <w:r>
        <w:t xml:space="preserve"> от 21.07.2022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</w:pPr>
    </w:p>
    <w:tbl>
      <w:tblPr>
        <w:tblStyle w:val="39"/>
        <w:tblW w:w="93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708"/>
        <w:gridCol w:w="3969"/>
        <w:gridCol w:w="1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b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b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b/>
                <w:sz w:val="28"/>
                <w:szCs w:val="28"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Техническое задание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разработку проектно-сметной документации на объект №6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«</w:t>
            </w:r>
            <w:r>
              <w:rPr>
                <w:b/>
                <w:shd w:val="clear" w:color="auto" w:fill="FAFAFA"/>
              </w:rPr>
              <w:t>Сети инженерно-технического обеспечения объекта капитального строительства.</w:t>
            </w:r>
            <w:r>
              <w:rPr>
                <w:b/>
              </w:rPr>
              <w:t xml:space="preserve"> Инженерные сети, дороги, расположенные на земельных участках № 1 и № 2</w:t>
            </w:r>
            <w:r>
              <w:rPr>
                <w:b/>
                <w:sz w:val="28"/>
                <w:szCs w:val="28"/>
              </w:rPr>
              <w:t>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b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2" w:type="dxa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</w:rPr>
            </w:pPr>
            <w:r>
              <w:rPr>
                <w:b/>
              </w:rPr>
              <w:t>Заказчик: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b/>
              </w:rPr>
            </w:pPr>
            <w:r>
              <w:rPr>
                <w:b/>
              </w:rPr>
              <w:t>Управляющий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</w:rPr>
            </w:pPr>
            <w:r>
              <w:rPr>
                <w:b/>
              </w:rPr>
              <w:t>ООО «Арбат-Менеджмент»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b/>
              </w:rPr>
            </w:pPr>
            <w:r>
              <w:rPr>
                <w:b/>
              </w:rPr>
              <w:t xml:space="preserve"> 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b/>
              </w:rPr>
            </w:pPr>
            <w:r>
              <w:rPr>
                <w:b/>
              </w:rPr>
              <w:t>________________/ А.С. Окрушко/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b/>
              </w:rPr>
            </w:pPr>
            <w:r>
              <w:rPr>
                <w:b/>
              </w:rPr>
              <w:t xml:space="preserve">  МП  «____»_______________2022 г.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1032"/>
              <w:rPr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b/>
              </w:rPr>
            </w:pPr>
            <w:r>
              <w:rPr>
                <w:b/>
              </w:rPr>
              <w:t>«СОСТАВЛЕНО»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39"/>
              <w:rPr>
                <w:b/>
              </w:rPr>
            </w:pPr>
            <w:r>
              <w:rPr>
                <w:b/>
              </w:rPr>
              <w:t>Проектная организация: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39" w:right="-250"/>
              <w:rPr>
                <w:b/>
              </w:rPr>
            </w:pPr>
            <w:r>
              <w:rPr>
                <w:b/>
              </w:rPr>
              <w:t>Директор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39"/>
              <w:rPr>
                <w:b/>
              </w:rPr>
            </w:pPr>
            <w:r>
              <w:rPr>
                <w:b/>
              </w:rPr>
              <w:t>ООО «Технология»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39"/>
            </w:pPr>
            <w:r>
              <w:t xml:space="preserve">                        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ind w:left="39"/>
              <w:rPr>
                <w:b/>
              </w:rPr>
            </w:pP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ind w:left="39"/>
              <w:rPr>
                <w:b/>
              </w:rPr>
            </w:pPr>
            <w:r>
              <w:rPr>
                <w:b/>
              </w:rPr>
              <w:t>______________</w:t>
            </w:r>
            <w:r>
              <w:t xml:space="preserve">/ </w:t>
            </w:r>
            <w:r>
              <w:rPr>
                <w:b/>
              </w:rPr>
              <w:t xml:space="preserve">М.А. Репин/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60" w:lineRule="auto"/>
              <w:rPr>
                <w:b/>
              </w:rPr>
            </w:pPr>
            <w:r>
              <w:rPr>
                <w:b/>
              </w:rPr>
              <w:t>МП  «____»______________2022 г.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right"/>
              <w:rPr>
                <w:b/>
              </w:rPr>
            </w:pP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b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b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b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b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right"/>
        <w:rPr>
          <w:b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3945"/>
        </w:tabs>
        <w:rPr>
          <w:b/>
        </w:rPr>
      </w:pPr>
      <w:r>
        <w:rPr>
          <w:b/>
        </w:rPr>
        <w:tab/>
      </w:r>
      <w:r>
        <w:rPr>
          <w:b/>
        </w:rPr>
        <w:t>Москва 2022 г.</w:t>
      </w:r>
      <w:r>
        <w:br w:type="page"/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3945"/>
        </w:tabs>
        <w:rPr>
          <w:b/>
        </w:rPr>
      </w:pPr>
    </w:p>
    <w:tbl>
      <w:tblPr>
        <w:tblStyle w:val="40"/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19"/>
        <w:gridCol w:w="49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17" w:type="dxa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>№</w:t>
            </w:r>
          </w:p>
        </w:tc>
        <w:tc>
          <w:tcPr>
            <w:tcW w:w="3819" w:type="dxa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>Перечень основных требований</w:t>
            </w:r>
          </w:p>
        </w:tc>
        <w:tc>
          <w:tcPr>
            <w:tcW w:w="4970" w:type="dxa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>Содержание требований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17" w:type="dxa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>1</w:t>
            </w:r>
          </w:p>
        </w:tc>
        <w:tc>
          <w:tcPr>
            <w:tcW w:w="3819" w:type="dxa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>2</w:t>
            </w:r>
          </w:p>
        </w:tc>
        <w:tc>
          <w:tcPr>
            <w:tcW w:w="4970" w:type="dxa"/>
            <w:shd w:val="clear" w:color="auto" w:fill="auto"/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</w:pPr>
            <w: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3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        Общие данные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Основание для разработки документации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Договор № 100/ПД/1 от 21.07.2022 г.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ГПЗУ № RU 09502306-50</w:t>
            </w:r>
            <w:r>
              <w:br w:type="textWrapping"/>
            </w:r>
            <w:r>
              <w:t>ГПЗУ № RU 09502306-51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Вид строительства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Новое строительство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 xml:space="preserve">Источник финансирования: 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 xml:space="preserve">Собственные или заемные средства Застройщика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ООО «АРХЫЗ 1700»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 xml:space="preserve">1.5 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 xml:space="preserve">Наименование проектной организации  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ООО "Арбат-Менеджмент"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1.6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Стадийность проектирования: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предварительная проектная документация (концепция)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- проектная документация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1.7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Требования к проектным решениям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142" w:hanging="426"/>
              <w:rPr>
                <w:b/>
              </w:rPr>
            </w:pPr>
            <w:r>
              <w:rPr>
                <w:b/>
              </w:rPr>
              <w:t xml:space="preserve">       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Сети инженерного обеспечения выполняются для земельного участка №1 и являются частью Объекта №1 при подаче в экспертизу.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Сети инженерного обеспечения выполняются для земельного участка №2 и являются частью Объекта №3 при подаче в экспертизу.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Определение принадлежности сети дано в соответствии с </w:t>
            </w:r>
            <w:r>
              <w:rPr>
                <w:shd w:val="clear" w:color="auto" w:fill="FAFAFA"/>
              </w:rPr>
              <w:t>Письмом Министерства регионального развития РФ от 19 февраля 2010 г. N 6180-ИП/08.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Документацию выполнить в объеме необходимом и достаточном для получения согласований, положительного заключения государственной экспертизы.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Состав проектно-сметной документации в соответствии с договором.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1.8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Функциональное назначение и тип объекта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rPr>
                <w:shd w:val="clear" w:color="auto" w:fill="FAFAFA"/>
              </w:rPr>
              <w:t>Сети инженерно-технического обеспечения объекта капитального строительства</w:t>
            </w:r>
            <w:r>
              <w:rPr>
                <w:rFonts w:ascii="Quattrocento Sans" w:hAnsi="Quattrocento Sans" w:eastAsia="Quattrocento Sans" w:cs="Quattrocento Sans"/>
                <w:sz w:val="19"/>
                <w:szCs w:val="19"/>
                <w:shd w:val="clear" w:color="auto" w:fill="FAFAFA"/>
              </w:rPr>
              <w:t xml:space="preserve"> </w:t>
            </w:r>
            <w:r>
              <w:t>для обеспечения объектов 1,2,3,4,5 подъездными дорогами, сетями инженерной инфраструктуры.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1.9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Идентификация объекта в соответствии с ст.4 Федерального закона от 30.12.2009 №384-ФЗ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Наименование работ: “</w:t>
            </w:r>
            <w:r>
              <w:rPr>
                <w:shd w:val="clear" w:color="auto" w:fill="FAFAFA"/>
              </w:rPr>
              <w:t xml:space="preserve"> Сети инженерно-технического обеспечения объекта капитального строительства</w:t>
            </w:r>
            <w:r>
              <w:rPr>
                <w:rFonts w:ascii="Quattrocento Sans" w:hAnsi="Quattrocento Sans" w:eastAsia="Quattrocento Sans" w:cs="Quattrocento Sans"/>
                <w:sz w:val="19"/>
                <w:szCs w:val="19"/>
                <w:shd w:val="clear" w:color="auto" w:fill="FAFAFA"/>
              </w:rPr>
              <w:t xml:space="preserve"> </w:t>
            </w:r>
            <w:r>
              <w:t>для обеспечения объектов.</w:t>
            </w:r>
            <w:r>
              <w:rPr>
                <w:b/>
              </w:rPr>
              <w:t xml:space="preserve"> </w:t>
            </w:r>
            <w:r>
              <w:t>Инженерные сети, дороги, расположенные на земельных участках № 1 и № 2 ”.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Назначение: Обеспечение зданий и сооружения энергоресурсами.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Объект не принадлежит к объектам транспортной инфраструктуры и к другим объектам, функционально-технологические особенности которых влияют на их безопасность.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Объект не принадлежит к опасным производственным объектам.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Классификация объекта в соответствии с ст.32 ФЗ-123 - Ф5 (для отдельно стоящих объектов обеспечения инженерной инфраструктуры линейного объекта определяется в нормативных документах по пожарной безопасности).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Объект по пожарной и взрывопожарной опасности разделению на категории не подлежит.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Уровень ответственности: нормальный.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Помещения с постоянным пребыванием людей определить в процессе проектирования.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Возможна опасность сейсмического воздействия.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Коды объектов согласно классификатору объектов капитального строительства по их назначению и функционально-технологическим особенностям: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19.7.3.1 – Газораспределительная сеть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19.7.3.2 – Канализационная сеть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19.7.3.3 – Сеть теплоснабжения (при необходимости)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19.7.3.4 – Сеть электроснабжения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19.7.3.5 – Сеть водоснабжения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19.7.3.6 – Сеть водоотведения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19.7.3.7 – Сеть связи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Основные технико-экономические показатели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Подключение внутриквартальных инженерных сетей предусмотреть на границе земельных участков в соответствии с договорами технологического присоединения.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Протяженность внутриквартальных инженерных сетей определить эскизным проектом.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Расход необходимых энергоресурсов определить укрупненным расчетом. Исходные данные для расчета предоставляет заказчик (количество койко-мест, условных блюд, общих площадей, посетителей по каждому зданию).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 xml:space="preserve">Площадь проектирования ограничена участками 1 и 2.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1.11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Особые условия строительства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142" w:hanging="426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Мероприятия по выносу существующих наружных сетей инженерного обеспечения и разработка инженерных сооружений, необходимых для функционирования проектируемых инженерных сетей не являются предметом данного соглашения.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При необходимости размещения линейных объектов на землях неразграниченной собственности между частями земельных участков, размещение сетей выполнить в соответствии с Постановлением Правительства Российской Федерации от 03.12.2014 г. № 1300. "Об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сервитутов".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1.12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Исходно разрешительная документация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Комплект имеющейся документации на объект представляется Заказчиком Проектировщику в соответствии с Градостроительным кодексом Российской Федерации: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Изыскания;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Договорные документы на подключение к инженерным системам (со всеми приложениями);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Технические условия на подключение к инженерным сетям (получаются балансодержателем объекта);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Технико-экономические показатели зданий, которые необходимо подключить к инженерным сетям;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- Схема расположения зданий и сооружений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Требования к учету инженерных сооружений на стадии предварительные проектные решения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Инженерное обустройство ручьев следует производить путем создания подземного водовода.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Обеспечение теплоснабжения будет произведено путем устройства крышных котельных и последующим получением СТУ для компенсации нарушений норм и правил пожарной безопасности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 xml:space="preserve">Обеспечение работы инженерных систем объекта по категории 1 электроснабжение предусмотреть путем устройства 3-х ДГУ на обоих участках.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ДГУ для гостиниц 5 и 4 звезды должен быть создан отдельно от ДГУ гостиниц 3 звезды, отдельно стоящего здания СПА и отдельно стоящего здания ресторана. Размещение ДГУ должно быть предусмотрено в границах того участка, где находятся обслуживаемые объекты.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При планировании границ полосы отвода и размещения инженерных сооружений в обязательном порядке учитывается размещение проектируемых горнолыжных трасс в соответствии с градостроительной концепцией компании PEAK’’ ing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При планировании пожарных проездов учесть в первую очередь технологические потребности объекта. Допускается нарушение норм пожарной безопасности в случае возможности создания Специальных технических условий.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Допустимо не размещать в границах участка всех необходимых по нормам парковочных мест. В границах участка обязательно должны быть размещены места парковки технологического и служебного транспорта (обслуживающие автомобили, автобусы), места для МГН. Прочие места на открытых парковках планируется разместить вне участков.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При пересечении горнолыжных трасс автомобильными и пешеходными дорогами учесть: автомобильные дороги проходят под горнолыжной трассой, пешеходные переходы устраиваются в виде отдельно стоящих сооружений для создания перехода над горнолыжной трассой. Пешеходные переходы создаются открытого, неотапливаемого типа.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При планировании линейных объектов принять во внимание, что на участке кадастровый номер  09:06:0021401:2308 в настоящий момент запроектированы магистральные инженерные сети для обеспечения деятельности курорта. Данные сети планируется вынести из границ участка.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 xml:space="preserve">Определить весь необходимый перечень проектных работ для получения разрешения на строительство по сетям инженерно-технического обеспечения объекта капитального строительства внутри участков 1 и 2. Определить возможные виды работ по наружным вне площадочным сетям для полноценного функционирования объектов на участках 1 и 2.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606" w:type="dxa"/>
            <w:gridSpan w:val="3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3.        Стадийность выполнения работ по объекту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3.1</w:t>
            </w:r>
          </w:p>
        </w:tc>
        <w:tc>
          <w:tcPr>
            <w:tcW w:w="8789" w:type="dxa"/>
            <w:gridSpan w:val="2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 xml:space="preserve">Стадия предварительные проектные решения.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3.1.1</w:t>
            </w:r>
          </w:p>
        </w:tc>
        <w:tc>
          <w:tcPr>
            <w:tcW w:w="8789" w:type="dxa"/>
            <w:gridSpan w:val="2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В соответствии с Составом работ Приложения №1 настоящего Дополнительного соглашения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3.1.2</w:t>
            </w:r>
          </w:p>
        </w:tc>
        <w:tc>
          <w:tcPr>
            <w:tcW w:w="8789" w:type="dxa"/>
            <w:gridSpan w:val="2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Предварительный расчет потребности технических условий для сетей: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электроснабжения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водоснабжения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канализования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теплоснабжения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ливнестока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</w:trPr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8789" w:type="dxa"/>
            <w:gridSpan w:val="2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 xml:space="preserve">Стадия Проектная документация.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3.2.1</w:t>
            </w:r>
          </w:p>
        </w:tc>
        <w:tc>
          <w:tcPr>
            <w:tcW w:w="8789" w:type="dxa"/>
            <w:gridSpan w:val="2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Сопровождение получения положительного заключения в государственной экспертизе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</w:trPr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3.2.2</w:t>
            </w:r>
          </w:p>
        </w:tc>
        <w:tc>
          <w:tcPr>
            <w:tcW w:w="8789" w:type="dxa"/>
            <w:gridSpan w:val="2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Разработка технических заданий на выполнение разделов Рабочей документации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" w:hRule="atLeast"/>
        </w:trPr>
        <w:tc>
          <w:tcPr>
            <w:tcW w:w="9606" w:type="dxa"/>
            <w:gridSpan w:val="3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  <w:rPr>
                <w:b/>
              </w:rPr>
            </w:pPr>
            <w:r>
              <w:rPr>
                <w:b/>
              </w:rPr>
              <w:t>Требования к решениям для стадии Проектная документация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4.1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  <w:rPr>
                <w:b/>
              </w:rPr>
            </w:pPr>
            <w:r>
              <w:rPr>
                <w:b/>
              </w:rPr>
              <w:t>Сети и сооружения водоснабжения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Водоснабжение выполнить согласно действующим на территории РФ нормам на проектирование в соответствии с выданными техническими условиями на подключение к существующим сетям водоснабжения.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Для подачи воды потребителям предусмотреть сооружения: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- наружные сети хозяйственно- питьевого-противопожарного водоснабжения;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сети подключения зданий от внутриквартальных сетей предусмотреть в составе проекта каждого здания.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При необходимости предусмотреть повысительные насосные станции полной заводской готовности.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Предусмотреть устройство на сетях водопровода колодцев и камер (смотровые и для установки запорно-регулирующей арматуры). Материал колодцев и камер определить проектом.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Расход воды на наружное пожаротушение, продолжительность пожаротушения и расчетное количество одновременных пожаров определить проектом, согласно действующим нормам.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Список основных нормативных документов: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1) Градостроительный кодекс РФ от 29 декабря 2004 г. №190-ФЗ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2) Технический регламент о безопасности зданий и сооружений №384-ФЗ от 30.12.2009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3) Технический регламент о требованиях пожарной безопасности от 22 июля 2008 года №123-ФЗ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4) Постановление Правительства РФ от 28 мая 2021 года №815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5) Приказ Федерального агентства по техническому регулированию и метрологии от 2 апреля 2020 года N 687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6) Приказ Федерального агентства по техническому регулированию и метрологии от 14 июля 2020 года N 1190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7) СП 8.13130.2020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8) СП 10.13130.2020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9) СП 30.13330.2020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10) СП 31.13330.2021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bookmarkStart w:id="0" w:name="_heading=h.gjdgxs" w:colFirst="0" w:colLast="0"/>
            <w:bookmarkEnd w:id="0"/>
            <w:r>
              <w:t xml:space="preserve">В дополнение к перечисленному списку нормативных документам при необходимости допускается использовать другие действующие на территории РФ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нормы и правила проектирования.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 xml:space="preserve">Принять решение о месторасположении резервуара для АУПТ объектов 2,4,5.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  <w:rPr>
                <w:b/>
              </w:rPr>
            </w:pPr>
            <w:r>
              <w:rPr>
                <w:b/>
              </w:rPr>
              <w:t>Сети и сооружения водоотведения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 Водоотведение выполнить согласно действующим на территории РФ нормам на проектирование в соответствии с выданными техническими условиями на подключение к существующим сетям канализации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Проектом предусмотреть: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1) Наружную сеть хозяйственно-бытовой канализации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2) Наружную сеть ливневой канализации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Предварительную очистку бытовых сточных вод на сетях не предусматривать. Предварительную очистку стоков от ресторанов и кафе предусмотреть в проектах внутренних систем водоотведения соответствующих зданий.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Отвод сточных вод запроектировать преимущественно безнапорными коллекторами (по возможности).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Список основных нормативных документов: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1) Градостроительный кодекс РФ от 29 декабря 2004 г. №190-ФЗ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2) Технический регламент о безопасности зданий и сооружений №384-ФЗ от 30.12.2009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3) Технический регламент о требованиях пожарной безопасности от 22 июля 2008 года №123-ФЗ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4) Постановление Правительства РФ от 28 мая 2021 года №815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5) Приказ Федерального агентства по техническому регулированию и метрологии от 2 апреля 2020 года N 687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6) Приказ Федерального агентства по техническому регулированию и метрологии от 14 июля 2020 года N 1190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7) СП 30.13330.2020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8) СП 32.13330.2018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В дополнение к перечисленному списку нормативных документам при необходимости допускается использовать другие действующие на территории РФ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нормы и правила проектирования.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  <w:rPr>
                <w:b/>
              </w:rPr>
            </w:pPr>
            <w:r>
              <w:rPr>
                <w:b/>
              </w:rPr>
              <w:t>Электроснабжение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В разделе Система электроснабжения: 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- определить места размещения трансформаторной подстанции;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отразить основные технические решения по электроснабжению электроприемников;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 определить места расположения дизель-генераторных установок.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Первая ДГУ ставится для обеспечения Объекта 1,2.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Вторая ДГУ ставится для обеспечения объекта 3.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Третья ДГУ ставится для обеспечения объектов 4,5.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Сети электроснабжения 6(10кВ) и трансформаторные подстанции предусматриваются сетевой организацией в рамках договора на технологическое присоединения. Категории по надежности электроснабжения определить в процессе проектирования системы электроснабжения в соответствии с СП 256.1325800.2016, а также технологической части  проекта. Марку, сечение и способ прокладки определить эскизным проектом. Кабели проложить в траншее с учетом существующих инженерных сетей. В местах пересечения с автодорогой, инженерными сетями проложить кабель в трубах, с учетом резервной трубы.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Обеспечить возможность последующего безопасного обслуживания и ремонта сетей.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4.4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  <w:rPr>
                <w:b/>
              </w:rPr>
            </w:pPr>
            <w:r>
              <w:rPr>
                <w:b/>
              </w:rPr>
              <w:t>Газораспределительные сети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Запроектировать газораспределительную сеть, а также необходимые сооружения и технические устройства для газоснабжения объектов. Котельные установки предусматривать в составе объектов капитального строительства. Котельную для гостиницы три звезды предусмотреть в корпусе спа. Котельную апарт- отеля три звезды предусмотреть в корпусе ресторана. Котельную для гостиницы. Котельную для гостиниц 4 и 5 звезд предусматриваем в одном из зданий для обеспечения обеих гостиниц теплом.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Котельную в здании МФЦ предусматриваем в составе здания.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Точку подключения принять в соответствии с полученными ТУ. Принцип построения, число ступеней редуцирования давления газа, точки подключения объектов на границах участков (кран-отвод, ГРПШ) определить эскизным проектом.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Внутренние диаметры газопроводов определить расчетом из условия обеспечения газоснабжения всех потребителей в часы максимального потребления газа. Проектом предусмотреть конструкцию защиты газопровода от механических повреждений.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4.5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Тепловые сети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В случае устройства общей котельной для нескольких объектов  предусмотреть для теплоснабжения объектов тепловые сети. Тип прокладки, материалы, тип компенсаторов определить в проекте. Предусмотреть мероприятия предотвращающие таяние снега в местах пересечения с лыжными трассами.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 xml:space="preserve">4.6 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Набережная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 xml:space="preserve">Предусмотреть в случае не возможности организации русла ручьев в закрытом водопроводе мероприятия по строительству набережной.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4.7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Благоустройство, генплан</w:t>
            </w: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Предусмотреть благоустройство для обеспечения пожарных проездов, пешеходных тротуаров. Отразить в концепции при их необходимости тоннели, мосты, переходы как пешеходные, так и автомобильные. Данным проектом проектирование тоннелей, переходов, мостов не предусматривать.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4.8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Проект организации строительства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Разработать раздел «Проект организации строительства» в соответствии с требованиями нормативных документов: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- Положением «О составе разделов проектной документации и требованиях к их содержанию», утверждённым Постановлением Правительства РФ от 16.02.2008г. № 87;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- СП 48.13330.2019 «Организация строительства». Актуализированная редакция СНиП 12-01-2004 (с Изменением № 1).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4.9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Перечень мероприятий по охране окружающей среды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Разработать раздел «Охрана окружающей среды» в соответствии с действующими нормативными документами и требованиями. Предусмотреть мероприятия, исключающие вредное воздействие объекта на окружающую среду.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4.10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Мероприятия по обеспечению пожарной безопасности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  <w:highlight w:val="yellow"/>
              </w:rPr>
            </w:pP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Разработать раздел «Мероприятия по обеспечению пожарной безопасности» на основании «Градостроительного кодекса» Российской Федерации и в соответствии с действующими нормативными правовыми актами и нормативно-техническими документами по пожарной безопасности с учетом Технического задания для использования при строительстве, реконструкции и эксплуатации объекта защиты: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- Федерального закона от 22.07.2008 № 123-ФЗ «Технический регламент о требованиях пожарной безопасности» с изменениями на 30.04.2021 в редакции Федерального закона от 10.07.2012 № 117-ФЗ «О внесении изменений в «Технический регламент о требованиях пожарной безопасности»;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- Федерального закона от 27.12.2002 № 184-ФЗ «О техническом регулировании» (в редакции от 29.07.2017);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- Федерального закона от 21.12.1994 № 69-ФЗ «О пожарной безопасности» (в редакции от 29.07.2017);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- Федерального закона от 30.12.2009 № 384-ФЗ «Технический  регламент о безопасности зданий и сооружений» (в редакции от 02.07.2013);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Постановления Правительства Российской Федерации №1479 от 16 сентября 2020 г. «О противопожарном режиме»;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 xml:space="preserve">- Положения «О составе разделов проектной документации и требованиях к их содержанию» (в редакции от 13.12.2017), утверждённого  Постановлением Правительства РФ от 16.02.2008 № 87;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 xml:space="preserve">- Приказа Росстандарта от 14.07.2020 № 1190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22 июля 2008 года № 123-ФЗ «Технический регламент о требованиях пожарной безопасности»;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Все приведенные ниже нормативные документы применять в редакциях и с изменениями, действующими на момент разработки проектной документации: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ГОСТ 12.1.004-91 «ССБТ. Пожарная безопасность. Общие требования»;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ГОСТ Р 51844-2009 «Техника пожарная. Шкафы пожарные. Общие технические требования. Методы испытаний»;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 xml:space="preserve">- ГОСТ Р 53254-2009 «Техника пожарная. Лестницы пожарные наружные стационарные. Ограждения кровли. Общие технические требования. Методы испытаний»;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ГОСТ Р 53296-2009 «Установка лифтов для пожарных в зданиях и сооружениях. Требования пожарной безопасности»;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ГОСТ Р 21.1101-2013 «Система проектной документации для строительства. Основные требования к проектной и рабочей документации»;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СП 1.13130.2020 «Системы противопожарной защиты. Эвакуационные пути и выходы»;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СП 2.13130.2020 «Системы противопожарной защиты. Обеспечение огнестойкости объектов защиты»;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</w:pPr>
            <w:r>
              <w:t>- СП 3.13130.2009 «Системы противопожарной защиты. Система оповещения и управления эвакуацией людей при пожаре»;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 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 </w:t>
            </w:r>
            <w:r>
              <w:fldChar w:fldCharType="begin"/>
            </w:r>
            <w:r>
              <w:instrText xml:space="preserve"> HYPERLINK "http://docs.cntd.ru/document/566249686" \h </w:instrText>
            </w:r>
            <w:r>
              <w:fldChar w:fldCharType="separate"/>
            </w:r>
            <w:r>
              <w:t>СП 484.1311500.2020 "Системы противопожарной защиты. Системы пожарной сигнализации и автоматизация систем противопожарной защиты. Нормы и правила проектирования"</w:t>
            </w:r>
            <w:r>
              <w:fldChar w:fldCharType="end"/>
            </w:r>
            <w:r>
              <w:t xml:space="preserve">  (утверждён  </w:t>
            </w:r>
            <w:r>
              <w:fldChar w:fldCharType="begin"/>
            </w:r>
            <w:r>
              <w:instrText xml:space="preserve"> HYPERLINK "http://docs.cntd.ru/document/565855741" \h </w:instrText>
            </w:r>
            <w:r>
              <w:fldChar w:fldCharType="separate"/>
            </w:r>
            <w:r>
              <w:t>приказом МЧС России от 31 июля 2020 г. N 582</w:t>
            </w:r>
            <w:r>
              <w:fldChar w:fldCharType="end"/>
            </w:r>
            <w:r>
              <w:t>);</w:t>
            </w:r>
            <w:r>
              <w:br w:type="textWrapping"/>
            </w:r>
            <w:r>
              <w:t>- </w:t>
            </w:r>
            <w:r>
              <w:fldChar w:fldCharType="begin"/>
            </w:r>
            <w:r>
              <w:instrText xml:space="preserve"> HYPERLINK "http://docs.cntd.ru/document/573004280" \h </w:instrText>
            </w:r>
            <w:r>
              <w:fldChar w:fldCharType="separate"/>
            </w:r>
            <w:r>
              <w:t>СП 485.1311500.2020 "Системы противопожарной защиты. Установки пожаротушения автоматические. Нормы и правила проектирования"</w:t>
            </w:r>
            <w: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 (утверждён  </w:t>
            </w:r>
            <w:r>
              <w:fldChar w:fldCharType="begin"/>
            </w:r>
            <w:r>
              <w:instrText xml:space="preserve"> HYPERLINK "http://docs.cntd.ru/document/565719464" \h </w:instrText>
            </w:r>
            <w:r>
              <w:fldChar w:fldCharType="separate"/>
            </w:r>
            <w:r>
              <w:t>приказом МЧС России от 31 августа 2020 г. N 628</w:t>
            </w:r>
            <w:r>
              <w:fldChar w:fldCharType="end"/>
            </w:r>
            <w:r>
              <w:t>);</w:t>
            </w:r>
            <w:r>
              <w:br w:type="textWrapping"/>
            </w:r>
            <w:r>
              <w:t>- </w:t>
            </w:r>
            <w:r>
              <w:fldChar w:fldCharType="begin"/>
            </w:r>
            <w:r>
              <w:instrText xml:space="preserve"> HYPERLINK "http://docs.cntd.ru/document/566348486" \h </w:instrText>
            </w:r>
            <w:r>
              <w:fldChar w:fldCharType="separate"/>
            </w:r>
            <w:r>
              <w:t>СП 486.1311500.2020 "Системы противопожарной защиты. Перечень зданий, сооружений, помещений и оборудования, подлежащих защите автоматическими установками пожаротушения и системами пожарной сигнализации. Требования пожарной безопасности"</w:t>
            </w:r>
            <w: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t xml:space="preserve"> (утверждён  </w:t>
            </w:r>
            <w:r>
              <w:fldChar w:fldCharType="begin"/>
            </w:r>
            <w:r>
              <w:instrText xml:space="preserve"> HYPERLINK "http://docs.cntd.ru/document/565719465" \h </w:instrText>
            </w:r>
            <w:r>
              <w:fldChar w:fldCharType="separate"/>
            </w:r>
            <w:r>
              <w:t>приказом МЧС России от 20 июля 2020 г. N 539</w:t>
            </w:r>
            <w:r>
              <w:fldChar w:fldCharType="end"/>
            </w:r>
            <w:r>
              <w:t>);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 СП 6.13130.2020  «Системы противопожарной защиты. Электроустановки низковольтные. Требования пожарной безопасности»;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 СП 7.13130.2013 «Отопление, вентиляция и кондиционирование. Противопожарные требования»;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 СП 8.13130.2020 «Системы противопожарной защиты. Источники наружного противопожарного водоснабжения.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Требования пожарной безопасности»;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- СП 10.13130.2020 «Системы противопожарной защиты. Внутренний противопожарный водопровод. Требования пожарной безопасности»;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- СП 12.13130.2009 «Определение категорий помещений, зданий и наружных установок по взрывопожарной и пожарной опасности»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atLeast"/>
        </w:trPr>
        <w:tc>
          <w:tcPr>
            <w:tcW w:w="817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4.12</w:t>
            </w:r>
          </w:p>
        </w:tc>
        <w:tc>
          <w:tcPr>
            <w:tcW w:w="3819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Решения,  не являющиеся предметом данного Задания на проектирование</w:t>
            </w:r>
          </w:p>
        </w:tc>
        <w:tc>
          <w:tcPr>
            <w:tcW w:w="4970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>Отдельно стоящие и встроенные сооружения обеспечения инженерной инфраструктуры (канализационные насосные станции, котельные, трансформаторные подстанции, газораспределительные станции, очистные сооружения, дизель-генераторные установки, водозаборные узлы, газотурбинные установки).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Подземные инженерные сооружения (проходные и не проходные коллектора, пруды, туннели, мосты, резервуары).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5"/>
              <w:jc w:val="both"/>
            </w:pPr>
            <w:r>
              <w:t>Инженерная, технологическая инфраструктура проектируемых горнолыжных трасс. Инженерные изыскания.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817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4.13</w:t>
            </w:r>
          </w:p>
        </w:tc>
        <w:tc>
          <w:tcPr>
            <w:tcW w:w="3819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Сопутствующие мероприятия при выполнении проектно-сметной документации</w:t>
            </w:r>
          </w:p>
        </w:tc>
        <w:tc>
          <w:tcPr>
            <w:tcW w:w="4970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Разработка конструктивных решений прокладки сетей в лотках, не проходных каналах является предметом работ по настоящему соглашению. 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ind w:left="5"/>
              <w:jc w:val="both"/>
            </w:pPr>
            <w:r>
              <w:t xml:space="preserve">Все инженерные решения по организации подземного водовода для организации стока ручьев являются предметом настоящего соглашения.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gridSpan w:val="3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r>
              <w:rPr>
                <w:b/>
              </w:rPr>
              <w:t>5.        Прочие требования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  <w:bookmarkStart w:id="1" w:name="_heading=h.30j0zll" w:colFirst="0" w:colLast="0"/>
            <w:bookmarkEnd w:id="1"/>
            <w:r>
              <w:rPr>
                <w:b/>
              </w:rPr>
              <w:t>5.1</w:t>
            </w:r>
          </w:p>
        </w:tc>
        <w:tc>
          <w:tcPr>
            <w:tcW w:w="3819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ind w:left="142"/>
              <w:rPr>
                <w:b/>
              </w:rPr>
            </w:pPr>
            <w:r>
              <w:rPr>
                <w:b/>
              </w:rPr>
              <w:t>Требования к качественным характеристикам работ, требования к функциональным характеристикам товаров, подлежащих использованию при выполнении работ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rPr>
                <w:b/>
              </w:rPr>
            </w:pPr>
          </w:p>
        </w:tc>
        <w:tc>
          <w:tcPr>
            <w:tcW w:w="4970" w:type="dxa"/>
            <w:shd w:val="clear" w:color="auto" w:fill="auto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Исполнитель сопровождает согласование проектных решений.  Оплата услуг согласовывающих и экспертных организаций производится Заказчиком.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</w:pPr>
            <w:r>
              <w:t>Планировочные решения на начальном этапе проектирования согласовываются Заказчиком или назначенным представителем балансодержателя.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80"/>
              <w:jc w:val="both"/>
            </w:pPr>
            <w:r>
              <w:t>Документацию предоставить в количестве 3-х печатных экземпляров на бумажном носителе. Предоставить проектную документацию в электронном виде (в формате PDF, титульный лист и листы, имеющие штампы и печати – цветное сканирование), на USB flash носителе.</w:t>
            </w:r>
          </w:p>
        </w:tc>
      </w:tr>
    </w:tbl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sz w:val="28"/>
          <w:szCs w:val="28"/>
        </w:r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sz w:val="28"/>
          <w:szCs w:val="28"/>
        </w:rPr>
      </w:pPr>
    </w:p>
    <w:p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ind w:right="15" w:firstLine="567"/>
        <w:jc w:val="both"/>
      </w:pPr>
    </w:p>
    <w:sectPr>
      <w:headerReference r:id="rId3" w:type="default"/>
      <w:footerReference r:id="rId4" w:type="default"/>
      <w:pgSz w:w="11906" w:h="16838"/>
      <w:pgMar w:top="993" w:right="850" w:bottom="993" w:left="1701" w:header="454" w:footer="340" w:gutter="0"/>
      <w:pgNumType w:start="1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XO Tha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Quattrocento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center" w:pos="4790"/>
        <w:tab w:val="right" w:pos="9355"/>
        <w:tab w:val="right" w:pos="9581"/>
      </w:tabs>
      <w:rPr>
        <w:color w:val="000000"/>
      </w:rPr>
    </w:pPr>
    <w:r>
      <w:rPr>
        <w:color w:val="000000"/>
      </w:rPr>
      <w:t>Исполнитель_______________                                                          Заказчик_______________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ind w:left="284"/>
      <w:jc w:val="center"/>
      <w:rPr>
        <w:rFonts w:ascii="Arial" w:hAnsi="Arial" w:eastAsia="Arial" w:cs="Arial"/>
        <w:color w:val="244061"/>
        <w:sz w:val="16"/>
        <w:szCs w:val="16"/>
      </w:rPr>
    </w:pPr>
    <w:r>
      <w:rPr>
        <w:rFonts w:ascii="Arial" w:hAnsi="Arial" w:eastAsia="Arial" w:cs="Arial"/>
        <w:color w:val="244061"/>
        <w:sz w:val="16"/>
        <w:szCs w:val="16"/>
      </w:rPr>
      <w:t xml:space="preserve"> Дополнительное соглашение №1 от 21.07.2022 г. к Договору  № 100/ПД/1 от 21 июля 2022 г. </w:t>
    </w: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ind w:left="284" w:right="-709"/>
      <w:rPr>
        <w:color w:val="000000"/>
      </w:rPr>
    </w:pPr>
  </w:p>
  <w:p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center" w:pos="4677"/>
        <w:tab w:val="right" w:pos="9355"/>
      </w:tabs>
      <w:ind w:left="284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F1104A"/>
    <w:multiLevelType w:val="multilevel"/>
    <w:tmpl w:val="0DF1104A"/>
    <w:lvl w:ilvl="0" w:tentative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14FD626B"/>
    <w:multiLevelType w:val="multilevel"/>
    <w:tmpl w:val="14FD626B"/>
    <w:lvl w:ilvl="0" w:tentative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">
    <w:nsid w:val="207720F4"/>
    <w:multiLevelType w:val="multilevel"/>
    <w:tmpl w:val="207720F4"/>
    <w:lvl w:ilvl="0" w:tentative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20"/>
  <w:characterSpacingControl w:val="doNotCompress"/>
  <w:compat>
    <w:compatSetting w:name="compatibilityMode" w:uri="http://schemas.microsoft.com/office/word" w:val="12"/>
  </w:compat>
  <w:rsids>
    <w:rsidRoot w:val="008946DD"/>
    <w:rsid w:val="000B731D"/>
    <w:rsid w:val="000F088F"/>
    <w:rsid w:val="001318DD"/>
    <w:rsid w:val="00200894"/>
    <w:rsid w:val="002D0BD6"/>
    <w:rsid w:val="004F20FC"/>
    <w:rsid w:val="005F14BD"/>
    <w:rsid w:val="0074602A"/>
    <w:rsid w:val="007A656F"/>
    <w:rsid w:val="007C5C5F"/>
    <w:rsid w:val="007F2E1C"/>
    <w:rsid w:val="007F7B31"/>
    <w:rsid w:val="00817EC7"/>
    <w:rsid w:val="00822EC5"/>
    <w:rsid w:val="00855807"/>
    <w:rsid w:val="008946DD"/>
    <w:rsid w:val="0096217C"/>
    <w:rsid w:val="009624FD"/>
    <w:rsid w:val="009710ED"/>
    <w:rsid w:val="009D58D0"/>
    <w:rsid w:val="009F77F8"/>
    <w:rsid w:val="00AC1976"/>
    <w:rsid w:val="00AD72C3"/>
    <w:rsid w:val="00B14E7D"/>
    <w:rsid w:val="00B34287"/>
    <w:rsid w:val="00BB0F0C"/>
    <w:rsid w:val="00C01D35"/>
    <w:rsid w:val="00C33DBF"/>
    <w:rsid w:val="00D02F92"/>
    <w:rsid w:val="00D20B15"/>
    <w:rsid w:val="00D564B0"/>
    <w:rsid w:val="00DD63C7"/>
    <w:rsid w:val="00E43082"/>
    <w:rsid w:val="00EA7419"/>
    <w:rsid w:val="00EF3838"/>
    <w:rsid w:val="00FF2FAF"/>
    <w:rsid w:val="5DB4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3"/>
    <w:next w:val="3"/>
    <w:uiPriority w:val="0"/>
    <w:pPr>
      <w:keepNext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outlineLvl w:val="0"/>
    </w:pPr>
    <w:rPr>
      <w:color w:val="000000"/>
    </w:rPr>
  </w:style>
  <w:style w:type="paragraph" w:styleId="4">
    <w:name w:val="heading 2"/>
    <w:basedOn w:val="3"/>
    <w:next w:val="3"/>
    <w:uiPriority w:val="0"/>
    <w:pPr>
      <w:keepNext/>
      <w:spacing w:before="240" w:after="60"/>
      <w:outlineLvl w:val="1"/>
    </w:pPr>
    <w:rPr>
      <w:rFonts w:ascii="Cambria" w:hAnsi="Cambria" w:eastAsia="Cambria" w:cs="Cambria"/>
      <w:b/>
      <w:i/>
      <w:sz w:val="28"/>
      <w:szCs w:val="28"/>
    </w:rPr>
  </w:style>
  <w:style w:type="paragraph" w:styleId="5">
    <w:name w:val="heading 3"/>
    <w:basedOn w:val="3"/>
    <w:next w:val="3"/>
    <w:uiPriority w:val="0"/>
    <w:pPr>
      <w:keepNext/>
      <w:outlineLvl w:val="2"/>
    </w:pPr>
  </w:style>
  <w:style w:type="paragraph" w:styleId="6">
    <w:name w:val="heading 4"/>
    <w:basedOn w:val="3"/>
    <w:next w:val="3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20" w:after="120"/>
      <w:jc w:val="both"/>
      <w:outlineLvl w:val="3"/>
    </w:pPr>
    <w:rPr>
      <w:rFonts w:ascii="XO Thames" w:hAnsi="XO Thames" w:eastAsia="XO Thames" w:cs="XO Thames"/>
      <w:b/>
      <w:color w:val="000000"/>
    </w:rPr>
  </w:style>
  <w:style w:type="paragraph" w:styleId="7">
    <w:name w:val="heading 5"/>
    <w:basedOn w:val="3"/>
    <w:next w:val="3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before="120" w:after="120"/>
      <w:jc w:val="both"/>
      <w:outlineLvl w:val="4"/>
    </w:pPr>
    <w:rPr>
      <w:rFonts w:ascii="XO Thames" w:hAnsi="XO Thames" w:eastAsia="XO Thames" w:cs="XO Thames"/>
      <w:b/>
      <w:color w:val="000000"/>
      <w:sz w:val="22"/>
      <w:szCs w:val="22"/>
    </w:rPr>
  </w:style>
  <w:style w:type="paragraph" w:styleId="8">
    <w:name w:val="heading 6"/>
    <w:basedOn w:val="3"/>
    <w:next w:val="3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бычный2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styleId="11">
    <w:name w:val="annotation reference"/>
    <w:basedOn w:val="9"/>
    <w:semiHidden/>
    <w:unhideWhenUsed/>
    <w:qFormat/>
    <w:uiPriority w:val="99"/>
    <w:rPr>
      <w:sz w:val="16"/>
      <w:szCs w:val="16"/>
    </w:rPr>
  </w:style>
  <w:style w:type="paragraph" w:styleId="12">
    <w:name w:val="Balloon Text"/>
    <w:basedOn w:val="1"/>
    <w:link w:val="43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13">
    <w:name w:val="annotation text"/>
    <w:basedOn w:val="1"/>
    <w:link w:val="44"/>
    <w:semiHidden/>
    <w:unhideWhenUsed/>
    <w:qFormat/>
    <w:uiPriority w:val="99"/>
    <w:rPr>
      <w:sz w:val="20"/>
      <w:szCs w:val="20"/>
    </w:rPr>
  </w:style>
  <w:style w:type="paragraph" w:styleId="14">
    <w:name w:val="annotation subject"/>
    <w:basedOn w:val="13"/>
    <w:next w:val="13"/>
    <w:link w:val="45"/>
    <w:semiHidden/>
    <w:unhideWhenUsed/>
    <w:qFormat/>
    <w:uiPriority w:val="99"/>
    <w:rPr>
      <w:b/>
      <w:bCs/>
    </w:rPr>
  </w:style>
  <w:style w:type="paragraph" w:styleId="15">
    <w:name w:val="header"/>
    <w:basedOn w:val="1"/>
    <w:link w:val="4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6">
    <w:name w:val="Title"/>
    <w:basedOn w:val="3"/>
    <w:next w:val="3"/>
    <w:qFormat/>
    <w:uiPriority w:val="0"/>
    <w:pPr>
      <w:jc w:val="center"/>
    </w:pPr>
    <w:rPr>
      <w:b/>
    </w:rPr>
  </w:style>
  <w:style w:type="paragraph" w:styleId="17">
    <w:name w:val="footer"/>
    <w:basedOn w:val="1"/>
    <w:link w:val="42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8">
    <w:name w:val="Subtitle"/>
    <w:basedOn w:val="19"/>
    <w:next w:val="19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XO Thames" w:hAnsi="XO Thames" w:eastAsia="XO Thames" w:cs="XO Thames"/>
      <w:i/>
      <w:color w:val="000000"/>
    </w:rPr>
  </w:style>
  <w:style w:type="paragraph" w:customStyle="1" w:styleId="19">
    <w:name w:val="Обычный1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table" w:customStyle="1" w:styleId="2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_Style 15"/>
    <w:basedOn w:val="20"/>
    <w:qFormat/>
    <w:uiPriority w:val="0"/>
    <w:tblPr>
      <w:tblCellMar>
        <w:left w:w="115" w:type="dxa"/>
        <w:right w:w="115" w:type="dxa"/>
      </w:tblCellMar>
    </w:tblPr>
  </w:style>
  <w:style w:type="table" w:customStyle="1" w:styleId="22">
    <w:name w:val="_Style 16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23">
    <w:name w:val="_Style 17"/>
    <w:basedOn w:val="20"/>
    <w:qFormat/>
    <w:uiPriority w:val="0"/>
  </w:style>
  <w:style w:type="table" w:customStyle="1" w:styleId="24">
    <w:name w:val="_Style 18"/>
    <w:basedOn w:val="20"/>
    <w:qFormat/>
    <w:uiPriority w:val="0"/>
    <w:tblPr>
      <w:tblCellMar>
        <w:left w:w="115" w:type="dxa"/>
        <w:right w:w="115" w:type="dxa"/>
      </w:tblCellMar>
    </w:tblPr>
  </w:style>
  <w:style w:type="table" w:customStyle="1" w:styleId="25">
    <w:name w:val="_Style 19"/>
    <w:basedOn w:val="20"/>
    <w:qFormat/>
    <w:uiPriority w:val="0"/>
    <w:tblPr>
      <w:tblCellMar>
        <w:left w:w="115" w:type="dxa"/>
        <w:right w:w="115" w:type="dxa"/>
      </w:tblCellMar>
    </w:tblPr>
  </w:style>
  <w:style w:type="table" w:customStyle="1" w:styleId="26">
    <w:name w:val="_Style 20"/>
    <w:basedOn w:val="20"/>
    <w:qFormat/>
    <w:uiPriority w:val="0"/>
    <w:tblPr>
      <w:tblCellMar>
        <w:left w:w="115" w:type="dxa"/>
        <w:right w:w="115" w:type="dxa"/>
      </w:tblCellMar>
    </w:tblPr>
  </w:style>
  <w:style w:type="table" w:customStyle="1" w:styleId="27">
    <w:name w:val="_Style 21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28">
    <w:name w:val="_Style 22"/>
    <w:basedOn w:val="20"/>
    <w:qFormat/>
    <w:uiPriority w:val="0"/>
    <w:tblPr>
      <w:tblCellMar>
        <w:left w:w="115" w:type="dxa"/>
        <w:right w:w="115" w:type="dxa"/>
      </w:tblCellMar>
    </w:tblPr>
  </w:style>
  <w:style w:type="table" w:customStyle="1" w:styleId="29">
    <w:name w:val="_Style 23"/>
    <w:basedOn w:val="20"/>
    <w:uiPriority w:val="0"/>
    <w:tblPr>
      <w:tblCellMar>
        <w:left w:w="108" w:type="dxa"/>
        <w:right w:w="108" w:type="dxa"/>
      </w:tblCellMar>
    </w:tblPr>
  </w:style>
  <w:style w:type="table" w:customStyle="1" w:styleId="30">
    <w:name w:val="_Style 24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31">
    <w:name w:val="_Style 25"/>
    <w:basedOn w:val="20"/>
    <w:uiPriority w:val="0"/>
    <w:tblPr>
      <w:tblCellMar>
        <w:left w:w="108" w:type="dxa"/>
        <w:right w:w="108" w:type="dxa"/>
      </w:tblCellMar>
    </w:tblPr>
  </w:style>
  <w:style w:type="table" w:customStyle="1" w:styleId="32">
    <w:name w:val="_Style 26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33">
    <w:name w:val="_Style 27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34">
    <w:name w:val="_Style 28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35">
    <w:name w:val="_Style 29"/>
    <w:basedOn w:val="20"/>
    <w:uiPriority w:val="0"/>
    <w:tblPr>
      <w:tblCellMar>
        <w:left w:w="108" w:type="dxa"/>
        <w:right w:w="108" w:type="dxa"/>
      </w:tblCellMar>
    </w:tblPr>
  </w:style>
  <w:style w:type="table" w:customStyle="1" w:styleId="36">
    <w:name w:val="_Style 30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37">
    <w:name w:val="_Style 31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38">
    <w:name w:val="_Style 32"/>
    <w:basedOn w:val="20"/>
    <w:uiPriority w:val="0"/>
    <w:tblPr>
      <w:tblCellMar>
        <w:left w:w="108" w:type="dxa"/>
        <w:right w:w="108" w:type="dxa"/>
      </w:tblCellMar>
    </w:tblPr>
  </w:style>
  <w:style w:type="table" w:customStyle="1" w:styleId="39">
    <w:name w:val="_Style 33"/>
    <w:basedOn w:val="20"/>
    <w:qFormat/>
    <w:uiPriority w:val="0"/>
    <w:tblPr>
      <w:tblCellMar>
        <w:left w:w="108" w:type="dxa"/>
        <w:right w:w="108" w:type="dxa"/>
      </w:tblCellMar>
    </w:tblPr>
  </w:style>
  <w:style w:type="table" w:customStyle="1" w:styleId="40">
    <w:name w:val="_Style 34"/>
    <w:basedOn w:val="20"/>
    <w:uiPriority w:val="0"/>
    <w:tblPr>
      <w:tblCellMar>
        <w:left w:w="108" w:type="dxa"/>
        <w:right w:w="108" w:type="dxa"/>
      </w:tblCellMar>
    </w:tblPr>
  </w:style>
  <w:style w:type="character" w:customStyle="1" w:styleId="41">
    <w:name w:val="Верхний колонтитул Знак"/>
    <w:basedOn w:val="9"/>
    <w:link w:val="15"/>
    <w:semiHidden/>
    <w:qFormat/>
    <w:uiPriority w:val="99"/>
  </w:style>
  <w:style w:type="character" w:customStyle="1" w:styleId="42">
    <w:name w:val="Нижний колонтитул Знак"/>
    <w:basedOn w:val="9"/>
    <w:link w:val="17"/>
    <w:semiHidden/>
    <w:qFormat/>
    <w:uiPriority w:val="99"/>
  </w:style>
  <w:style w:type="character" w:customStyle="1" w:styleId="43">
    <w:name w:val="Текст выноски Знак"/>
    <w:basedOn w:val="9"/>
    <w:link w:val="12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44">
    <w:name w:val="Текст примечания Знак"/>
    <w:basedOn w:val="9"/>
    <w:link w:val="13"/>
    <w:semiHidden/>
    <w:qFormat/>
    <w:uiPriority w:val="99"/>
    <w:rPr>
      <w:sz w:val="20"/>
      <w:szCs w:val="20"/>
    </w:rPr>
  </w:style>
  <w:style w:type="character" w:customStyle="1" w:styleId="45">
    <w:name w:val="Тема примечания Знак"/>
    <w:basedOn w:val="44"/>
    <w:link w:val="14"/>
    <w:semiHidden/>
    <w:qFormat/>
    <w:uiPriority w:val="99"/>
    <w:rPr>
      <w:b/>
      <w:bC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AOXJf24GBn7eHA0Ln73K5clCFw==">AMUW2mUQuxP3ZCNt9UuwmHhKd4svznrljVCkf7hPb6wQwplj2vCNqkjEvkYaHcUGLn6ClyqxwiOY0VtQn4mjWI7xXoLu0+8/gBEsffrbJV68LSDgMQ+z5/8EuiYyrwaRG4N89tVRFYUB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4678</Words>
  <Characters>26666</Characters>
  <Lines>222</Lines>
  <Paragraphs>62</Paragraphs>
  <TotalTime>361</TotalTime>
  <ScaleCrop>false</ScaleCrop>
  <LinksUpToDate>false</LinksUpToDate>
  <CharactersWithSpaces>31282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2022-07-21T09:30:00Z</dcterms:created>
  <dc:creator>Galina Kudryashova</dc:creator>
  <cp:lastModifiedBy>sofia.malykh</cp:lastModifiedBy>
  <dcterms:modified xsi:type="dcterms:W3CDTF">2022-07-27T07:29:26Z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693002E56B524475847425AD1E53B45F</vt:lpwstr>
  </property>
</Properties>
</file>