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ordWrap w:val="0"/>
        <w:spacing w:line="240" w:lineRule="auto"/>
        <w:jc w:val="righ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Приложение №1 к договору № 042/21-ИНЖ от 18.06.2021 г.</w:t>
      </w:r>
    </w:p>
    <w:tbl>
      <w:tblPr>
        <w:tblStyle w:val="3"/>
        <w:tblpPr w:leftFromText="180" w:rightFromText="180" w:vertAnchor="page" w:horzAnchor="page" w:tblpX="1081" w:tblpY="1255"/>
        <w:tblOverlap w:val="never"/>
        <w:tblW w:w="1003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  <w:gridCol w:w="49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5" w:hRule="atLeast"/>
        </w:trPr>
        <w:tc>
          <w:tcPr>
            <w:tcW w:w="5102" w:type="dxa"/>
          </w:tcPr>
          <w:p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br w:type="page"/>
            </w:r>
            <w:r>
              <w:rPr>
                <w:sz w:val="24"/>
                <w:szCs w:val="24"/>
                <w:highlight w:val="none"/>
              </w:rPr>
              <w:t>УТВЕРЖДАЮ</w:t>
            </w:r>
          </w:p>
          <w:p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Заказчик</w:t>
            </w:r>
          </w:p>
          <w:p>
            <w:pPr>
              <w:widowControl/>
              <w:autoSpaceDE/>
              <w:autoSpaceDN/>
              <w:adjustRightInd/>
              <w:contextualSpacing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ООО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«Агрофирма «Азнакай»</w:t>
            </w:r>
          </w:p>
          <w:p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  <w:highlight w:val="none"/>
                <w:lang w:val="ru-RU"/>
              </w:rPr>
            </w:pPr>
          </w:p>
          <w:p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  <w:highlight w:val="none"/>
                <w:lang w:val="ru-RU"/>
              </w:rPr>
            </w:pPr>
          </w:p>
          <w:p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  <w:highlight w:val="none"/>
                <w:lang w:val="ru-RU"/>
              </w:rPr>
            </w:pPr>
          </w:p>
          <w:p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  <w:highlight w:val="none"/>
                <w:lang w:val="ru-RU"/>
              </w:rPr>
            </w:pPr>
          </w:p>
          <w:p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  <w:highlight w:val="none"/>
                <w:lang w:val="ru-RU"/>
              </w:rPr>
            </w:pPr>
          </w:p>
          <w:p>
            <w:pPr>
              <w:spacing w:line="276" w:lineRule="auto"/>
              <w:jc w:val="left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_____________ </w:t>
            </w:r>
            <w:r>
              <w:rPr>
                <w:sz w:val="24"/>
                <w:szCs w:val="24"/>
                <w:highlight w:val="none"/>
                <w:lang w:val="ru-RU"/>
              </w:rPr>
              <w:t>Ибатуллин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А.В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widowControl/>
              <w:autoSpaceDE/>
              <w:autoSpaceDN/>
              <w:adjustRightInd/>
              <w:contextualSpacing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</w:p>
        </w:tc>
        <w:tc>
          <w:tcPr>
            <w:tcW w:w="4937" w:type="dxa"/>
          </w:tcPr>
          <w:p>
            <w:pPr>
              <w:widowControl/>
              <w:autoSpaceDE/>
              <w:autoSpaceDN/>
              <w:adjustRightInd/>
              <w:contextualSpacing/>
              <w:jc w:val="lef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СОГЛАСОВАНО</w:t>
            </w:r>
          </w:p>
          <w:p>
            <w:pPr>
              <w:widowControl/>
              <w:autoSpaceDE/>
              <w:autoSpaceDN/>
              <w:adjustRightInd/>
              <w:contextualSpacing/>
              <w:jc w:val="left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Подрядчик</w:t>
            </w:r>
          </w:p>
          <w:p>
            <w:pPr>
              <w:widowControl/>
              <w:wordWrap/>
              <w:autoSpaceDE/>
              <w:autoSpaceDN/>
              <w:adjustRightInd/>
              <w:contextualSpacing/>
              <w:jc w:val="left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Директор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ООО ПСК «Инжиниринг»</w:t>
            </w:r>
          </w:p>
          <w:p>
            <w:pPr>
              <w:widowControl/>
              <w:autoSpaceDE/>
              <w:autoSpaceDN/>
              <w:adjustRightInd/>
              <w:contextualSpacing/>
              <w:jc w:val="left"/>
              <w:rPr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adjustRightInd/>
              <w:contextualSpacing/>
              <w:jc w:val="left"/>
              <w:rPr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adjustRightInd/>
              <w:contextualSpacing/>
              <w:jc w:val="left"/>
              <w:rPr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adjustRightInd/>
              <w:contextualSpacing/>
              <w:jc w:val="left"/>
              <w:rPr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adjustRightInd/>
              <w:contextualSpacing/>
              <w:jc w:val="left"/>
              <w:rPr>
                <w:sz w:val="24"/>
                <w:szCs w:val="24"/>
                <w:highlight w:val="none"/>
              </w:rPr>
            </w:pPr>
          </w:p>
          <w:p>
            <w:pPr>
              <w:spacing w:line="276" w:lineRule="auto"/>
              <w:jc w:val="left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_____________</w:t>
            </w:r>
            <w:r>
              <w:rPr>
                <w:sz w:val="24"/>
                <w:szCs w:val="24"/>
                <w:highlight w:val="none"/>
                <w:lang w:val="ru-RU"/>
              </w:rPr>
              <w:t>Торопов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С.В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widowControl/>
              <w:autoSpaceDE/>
              <w:autoSpaceDN/>
              <w:adjustRightInd/>
              <w:contextualSpacing/>
              <w:jc w:val="right"/>
              <w:rPr>
                <w:sz w:val="24"/>
                <w:szCs w:val="24"/>
                <w:highlight w:val="none"/>
              </w:rPr>
            </w:pPr>
          </w:p>
        </w:tc>
      </w:tr>
    </w:tbl>
    <w:p>
      <w:pPr>
        <w:pStyle w:val="5"/>
        <w:spacing w:line="240" w:lineRule="auto"/>
        <w:jc w:val="center"/>
        <w:rPr>
          <w:rFonts w:ascii="Times New Roman" w:hAnsi="Times New Roman"/>
          <w:sz w:val="24"/>
          <w:szCs w:val="24"/>
          <w:highlight w:val="none"/>
          <w:lang w:val="ru-RU"/>
        </w:rPr>
      </w:pPr>
    </w:p>
    <w:p>
      <w:pPr>
        <w:pStyle w:val="5"/>
        <w:spacing w:line="240" w:lineRule="auto"/>
        <w:jc w:val="center"/>
        <w:rPr>
          <w:rFonts w:ascii="Times New Roman" w:hAnsi="Times New Roman"/>
          <w:sz w:val="24"/>
          <w:szCs w:val="24"/>
          <w:highlight w:val="none"/>
          <w:lang w:val="ru-RU"/>
        </w:rPr>
      </w:pPr>
    </w:p>
    <w:p>
      <w:pPr>
        <w:pStyle w:val="5"/>
        <w:spacing w:line="240" w:lineRule="auto"/>
        <w:jc w:val="center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  <w:lang w:val="ru-RU"/>
        </w:rPr>
        <w:t>Задание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 xml:space="preserve"> на проектирование по объекту:</w:t>
      </w:r>
    </w:p>
    <w:p>
      <w:pPr>
        <w:widowControl/>
        <w:autoSpaceDE/>
        <w:autoSpaceDN/>
        <w:adjustRightInd/>
        <w:spacing w:after="200" w:line="276" w:lineRule="auto"/>
        <w:jc w:val="center"/>
        <w:rPr>
          <w:rFonts w:hint="default" w:ascii="Times New Roman" w:hAnsi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/>
          <w:b/>
          <w:sz w:val="24"/>
          <w:szCs w:val="24"/>
          <w:highlight w:val="none"/>
        </w:rPr>
        <w:t>«Водовод для «Животноводческий комплекс на 2000 голов дойного стада КРС, расположенный в населенном пункте Банки Сухояш Азнакаевского района Республики Татарстан»</w:t>
      </w:r>
    </w:p>
    <w:p>
      <w:pPr>
        <w:widowControl/>
        <w:autoSpaceDE/>
        <w:autoSpaceDN/>
        <w:adjustRightInd/>
        <w:spacing w:after="200" w:line="276" w:lineRule="auto"/>
        <w:jc w:val="center"/>
        <w:rPr>
          <w:rFonts w:hint="default" w:ascii="Times New Roman" w:hAnsi="Times New Roman"/>
          <w:b/>
          <w:sz w:val="24"/>
          <w:szCs w:val="24"/>
          <w:highlight w:val="none"/>
        </w:rPr>
      </w:pPr>
    </w:p>
    <w:tbl>
      <w:tblPr>
        <w:tblStyle w:val="3"/>
        <w:tblW w:w="10513" w:type="dxa"/>
        <w:tblInd w:w="-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3227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spacing w:line="276" w:lineRule="auto"/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>№</w:t>
            </w:r>
          </w:p>
        </w:tc>
        <w:tc>
          <w:tcPr>
            <w:tcW w:w="3227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>Перечень основных</w:t>
            </w:r>
          </w:p>
          <w:p>
            <w:pPr>
              <w:spacing w:line="276" w:lineRule="auto"/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>данных и требований</w:t>
            </w:r>
          </w:p>
        </w:tc>
        <w:tc>
          <w:tcPr>
            <w:tcW w:w="6625" w:type="dxa"/>
            <w:vAlign w:val="center"/>
          </w:tcPr>
          <w:p>
            <w:pPr>
              <w:spacing w:line="276" w:lineRule="auto"/>
              <w:jc w:val="center"/>
              <w:rPr>
                <w:rFonts w:hint="default"/>
                <w:b/>
                <w:sz w:val="24"/>
                <w:szCs w:val="24"/>
                <w:highlight w:val="none"/>
                <w:lang w:val="ru-RU"/>
              </w:rPr>
            </w:pPr>
            <w:r>
              <w:rPr>
                <w:b/>
                <w:sz w:val="24"/>
                <w:szCs w:val="24"/>
                <w:highlight w:val="none"/>
                <w:lang w:val="ru-RU"/>
              </w:rPr>
              <w:t>Основные</w:t>
            </w:r>
            <w:r>
              <w:rPr>
                <w:rFonts w:hint="default"/>
                <w:b/>
                <w:sz w:val="24"/>
                <w:szCs w:val="24"/>
                <w:highlight w:val="none"/>
                <w:lang w:val="ru-RU"/>
              </w:rPr>
              <w:t xml:space="preserve"> данные и требования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Заказчик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и Застройщик</w:t>
            </w:r>
          </w:p>
        </w:tc>
        <w:tc>
          <w:tcPr>
            <w:tcW w:w="6625" w:type="dxa"/>
          </w:tcPr>
          <w:p>
            <w:pPr>
              <w:spacing w:before="100" w:beforeAutospacing="1"/>
              <w:contextualSpacing/>
              <w:rPr>
                <w:b w:val="0"/>
                <w:bCs/>
                <w:sz w:val="24"/>
                <w:szCs w:val="24"/>
                <w:highlight w:val="none"/>
              </w:rPr>
            </w:pPr>
            <w:r>
              <w:rPr>
                <w:b w:val="0"/>
                <w:bCs/>
                <w:sz w:val="24"/>
                <w:szCs w:val="24"/>
                <w:highlight w:val="none"/>
              </w:rPr>
              <w:t>ООО «Агрофирма «Азнакай»</w:t>
            </w:r>
          </w:p>
          <w:p>
            <w:pPr>
              <w:shd w:val="clear" w:color="auto" w:fill="FFFFFF"/>
              <w:autoSpaceDE w:val="0"/>
              <w:adjustRightInd w:val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ИНН 1643010783</w:t>
            </w:r>
          </w:p>
          <w:p>
            <w:pPr>
              <w:shd w:val="clear" w:color="auto" w:fill="FFFFFF"/>
              <w:autoSpaceDE w:val="0"/>
              <w:adjustRightInd w:val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КПП 164301001</w:t>
            </w:r>
          </w:p>
          <w:p>
            <w:pPr>
              <w:shd w:val="clear" w:color="auto" w:fill="FFFFFF"/>
              <w:autoSpaceDE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spacing w:val="-3"/>
                <w:sz w:val="24"/>
                <w:szCs w:val="24"/>
                <w:highlight w:val="none"/>
              </w:rPr>
              <w:t xml:space="preserve">Юридический адрес: </w:t>
            </w:r>
            <w:r>
              <w:rPr>
                <w:sz w:val="24"/>
                <w:szCs w:val="24"/>
                <w:highlight w:val="none"/>
              </w:rPr>
              <w:t>423330, РТ, г. Азнакаево, ул. Кирова, 1а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Контактное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лицо Заказчика</w:t>
            </w:r>
          </w:p>
        </w:tc>
        <w:tc>
          <w:tcPr>
            <w:tcW w:w="6625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Шакиров Рустем Рамазанович</w:t>
            </w:r>
          </w:p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Тел: 8-965-594-05-83</w:t>
            </w:r>
          </w:p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E-mail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: </w:t>
            </w:r>
            <w:r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  <w:t>rustem.shakirov@agrosila-holding.ru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Инвестор</w:t>
            </w:r>
          </w:p>
        </w:tc>
        <w:tc>
          <w:tcPr>
            <w:tcW w:w="6625" w:type="dxa"/>
          </w:tcPr>
          <w:p>
            <w:pPr>
              <w:spacing w:line="276" w:lineRule="auto"/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Проектировщик</w:t>
            </w:r>
          </w:p>
        </w:tc>
        <w:tc>
          <w:tcPr>
            <w:tcW w:w="6625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</w:rPr>
              <w:t>ООО ПСК «Инжиниринг»</w:t>
            </w:r>
          </w:p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</w:rPr>
              <w:t>Юридический адрес:</w:t>
            </w:r>
          </w:p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</w:rPr>
              <w:t>420095, г. Казань, Республика Татарстан, ул. Восстания, дом 100, здание 266Д, К, помещение 408 (5)</w:t>
            </w:r>
          </w:p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</w:rPr>
              <w:t>ИНН 1840022379</w:t>
            </w:r>
          </w:p>
          <w:p>
            <w:pPr>
              <w:spacing w:line="276" w:lineRule="auto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</w:rPr>
              <w:t>КПП 165801001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Контактное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лицо проектировщика</w:t>
            </w:r>
          </w:p>
        </w:tc>
        <w:tc>
          <w:tcPr>
            <w:tcW w:w="6625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Должность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: Главный инженер проекта</w:t>
            </w:r>
          </w:p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ФИО: Вавилов Егор Львович</w:t>
            </w:r>
          </w:p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Тел: 8-912-451-04-33</w:t>
            </w:r>
          </w:p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E-mail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: vel@engn.pro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Основание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для проектирования</w:t>
            </w:r>
          </w:p>
        </w:tc>
        <w:tc>
          <w:tcPr>
            <w:tcW w:w="6625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Договор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на выполнение проектных работ и инженерных изысканий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Наименование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и месторасположение объекта</w:t>
            </w:r>
          </w:p>
        </w:tc>
        <w:tc>
          <w:tcPr>
            <w:tcW w:w="6625" w:type="dxa"/>
          </w:tcPr>
          <w:p>
            <w:pPr>
              <w:spacing w:line="276" w:lineRule="auto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</w:rPr>
              <w:t>«Водовод для «Животноводческий комплекс на 2000 голов дойного стада КРС, расположенный в населенном пункте Банки Сухояш Азнакаевского района Республики Татарстан»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Вид</w:t>
            </w:r>
            <w:r>
              <w:rPr>
                <w:sz w:val="24"/>
                <w:szCs w:val="24"/>
                <w:highlight w:val="none"/>
              </w:rPr>
              <w:t xml:space="preserve"> строительства</w:t>
            </w:r>
          </w:p>
        </w:tc>
        <w:tc>
          <w:tcPr>
            <w:tcW w:w="6625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Новое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строительство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Объем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проектирования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- </w:t>
            </w:r>
            <w:r>
              <w:rPr>
                <w:sz w:val="24"/>
                <w:szCs w:val="24"/>
                <w:highlight w:val="none"/>
              </w:rPr>
              <w:t>Инженерно-геодезические изыскания</w:t>
            </w:r>
          </w:p>
          <w:p>
            <w:pPr>
              <w:spacing w:line="276" w:lineRule="auto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- </w:t>
            </w:r>
            <w:r>
              <w:rPr>
                <w:sz w:val="24"/>
                <w:szCs w:val="24"/>
                <w:highlight w:val="none"/>
              </w:rPr>
              <w:t>Инженерно-геологические изыскания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- </w:t>
            </w:r>
            <w:r>
              <w:rPr>
                <w:sz w:val="24"/>
                <w:szCs w:val="24"/>
                <w:highlight w:val="none"/>
              </w:rPr>
              <w:t>Инженерно-экологические изыскания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Проектная документация согласно Постановлению правительства РФ № 87 от 2008 г.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Стадия «П</w:t>
            </w:r>
            <w:bookmarkStart w:id="0" w:name="_GoBack"/>
            <w:bookmarkEnd w:id="0"/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роектная документация»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Требования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к выделению градостроительных, пусковых комплексов, их составу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Строительство водовода осуществляется в один этап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Исходные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данные для проектирования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Сбор исходных данных осуществляется Заказчиком и предоставляется Проектировщику.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Перечень исходно-разрешительной документации определяется на стадии проектирования и согласовывается с заказчиком: ИРД, Градостроительный план земельного участка, Документы на право собственности земельного(ых) участка (ов), Технические условия на подключение к сетям.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Назначение и производительность объекта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Назначение: 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хозяйственно-питьевой водопровод (В1)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производственный (В3)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Характеристика проекта (индивидуальный проект, серия типовых проектов для привязки и т.д)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Индивидуальный проект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Сведения об источниках финансирования строительства объекта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Собственные, кредитные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Перечень основных зданий и сооружения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Водовод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Станция системы водоподготовки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</w:rPr>
              <w:t>Требования к техническим и технологическим решениям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Водовод: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 xml:space="preserve">- протяженность - 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1891,4 м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 xml:space="preserve">- диаметр 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160 мм</w:t>
            </w:r>
          </w:p>
          <w:p>
            <w:pPr>
              <w:spacing w:line="276" w:lineRule="auto"/>
              <w:jc w:val="both"/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</w:rPr>
              <w:t>Основные требования к конструктивным решениям и материалам несущих и ограждающих конструкции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</w:rPr>
              <w:t>- В соответствии с техническими условиями на строительные материалы и конструкции, приложение определяется на стадии проектирования.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Инженерное обеспечение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b/>
                <w:bCs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b/>
                <w:bCs/>
                <w:sz w:val="24"/>
                <w:szCs w:val="24"/>
                <w:highlight w:val="none"/>
                <w:lang w:val="ru-RU"/>
              </w:rPr>
              <w:t>18.1 Электроснабжение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Выполнить согласно полученным техническим условиям на присоединение к сетям электроснабжения, а также в соответствии с требованиями действующих норм и правил РФ.</w:t>
            </w:r>
          </w:p>
          <w:p>
            <w:pPr>
              <w:spacing w:line="276" w:lineRule="auto"/>
              <w:jc w:val="both"/>
              <w:rPr>
                <w:rFonts w:hint="default"/>
                <w:b/>
                <w:bCs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b/>
                <w:bCs/>
                <w:sz w:val="24"/>
                <w:szCs w:val="24"/>
                <w:highlight w:val="none"/>
                <w:lang w:val="ru-RU"/>
              </w:rPr>
              <w:t>18.2. Водоснабжение: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Согласно техническим условиям подготовленным Застройщиком. Предусмотреть систему очистки воды.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Требования к благоустройству территории</w:t>
            </w:r>
          </w:p>
        </w:tc>
        <w:tc>
          <w:tcPr>
            <w:tcW w:w="6625" w:type="dxa"/>
          </w:tcPr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Проектом предусмотреть:</w:t>
            </w:r>
          </w:p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Подъездные пути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к станции системы водоподготовки (Бетон класса В20, либо щебень);</w:t>
            </w:r>
          </w:p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Ограждение территории - существующее;</w:t>
            </w:r>
          </w:p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Озеленение.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Требования по составу проекта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Проектную документацию выполнить, согласно Постановления Правительства РФ N 87 от 16 февраля 2008 г.</w:t>
            </w:r>
          </w:p>
          <w:p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Раздел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>Пояснительная записка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»</w:t>
            </w:r>
          </w:p>
          <w:p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Раздел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«</w:t>
            </w:r>
            <w:r>
              <w:rPr>
                <w:sz w:val="24"/>
                <w:szCs w:val="24"/>
                <w:highlight w:val="none"/>
                <w:lang w:val="ru-RU"/>
              </w:rPr>
              <w:t>Проект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полосы отвода»</w:t>
            </w:r>
          </w:p>
          <w:p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Раздел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>Технологические и конструктивные решения линейного объекта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» (водоснабжение и водоотведение, электроснабжение, конструктивные решения)</w:t>
            </w:r>
          </w:p>
          <w:p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Раздел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>Проект организации строительства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»</w:t>
            </w:r>
          </w:p>
          <w:p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Раздел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>Охрана окружающей среды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»</w:t>
            </w:r>
          </w:p>
          <w:p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Раздел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>Мероприятия по обеспечению пожарной безопасности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»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Раздел «Смета на строительство»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Способ строительства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Подрядный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Требования и условия разработки природоохранных мероприятий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Выполнить раздел проекта ООС согласно действующим нормам и правилам РФ.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Требования по режиму безопасности и гигиены труда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Согласно действующим нормам и правилам 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Требования по разработке ГО и ЧС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Определяется после получения ТУ на разработку раздела ГО и ЧС или письма об отсутствии необходимости разработки данного раздела.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При получении ТУ раздел разрабатывается по дополнительному соглашению.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Продолжительность разработки проекта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Срок 60 календарных дней без учета времени на прохождение экспертизы проектной документации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Продолжительность строительства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2021-2022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Продолжительность строительства определить проектом – согласно разделу «Проект организации строительства».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Особые условия строительства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Отсутствуют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Сметная документация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1. Локальные сметы выполнить на основе сметно- нормативной базы ценообразования 2001 г. (ФЕР в редакции 2020 г.) в программном комплексе «Гранд смета» базисно-индексным методом.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2. Сводный сметный расчет по проектной документации выполнить в двух уровнях цен: в базовом и текущем. 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Текущий уровень цен рассчитывать с применением индекса на СМР и ПНР, на оборудование, прочие и проектно-изыскательские работы - согласно приложений к постановлению Министерства строительства и жилищно-коммунального хозяйства РФ на момент подачи заявления в негосударственную экспертизу. 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Стоимость строительных материалов и конструкций (не учтенных в сборниках сметных цен ФССЦ 1-5) определять в базовом уровне цен путем деления их текущей цены, принятой по прайс-листам на индекс СМР. 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Стоимость основных строительных материалов определить по сборникам сметных цен на материалы, включенных в Федеральный реестр сметных нормативов, в случае отсутствия стоимости материалов, изделий и конструкций в сборниках цен 2001 г., использовать данные прайс-листов, коммерческих предложений, счетов и т.п. (приложение к сметам). 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Затраты на транспортные расходы материалов и оборудования, стоимость которых принята по прайс-листам, учесть в размере 1% , заготовительно-складские расходы – 1,2% на оборудование, 2%- на материал.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В сводном сметном расчете учесть: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затраты на устройство временных зданий и сооружений согласно ГСН 81-05-01;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затраты при производстве работ в зимнее время ГСН 81-05-02-2007;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затраты на технологическое присоединение к электрическим сетям, водоснабжения, теплоснабжения и т.п на основании заключенных договоров;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- затраты содержание службы заказчика согласно постановления Правительства РФ №402 от 31.10.12 г. 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затраты на пусконаладочные работы в соответствии с письмом Минрегиона РФ № ВТ-386/08 от 13.04.2011 года (на основании локальных сметных расчетов).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затраты на проектно-изыскательские работы принять на основании заключенных договоров и сводной сметы на ПИР;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затраты на авторский надзор в соответствии с письмом Минрегиона РФ № 4882-СМ/08 от 25.02.2009 года;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затраты на экспертизу проектной документации на основании договоров по фактически произведенным затратам в соответствии с Постановлением Правительства РФ № 145 от 5.03.2007 года;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- затраты на непредвиденные расходы в размере 3% в соответствии с приказом Минрегиона РФ № 220 от 1.06.2012 года 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 xml:space="preserve">- за итогом ССР необходимо предусмотреть (справочно) возврат материалов от разборки временных зданий и сооружений в размере 15 % как в базисном уровне цен 2001 г., так и в текущем уровне цен; в текущем уровне цен вышеуказанные возвратные суммы соответственно проиндексировать и начислить НДС (п.4.99 МДС 81-35.2004); 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- за итогом ССР необходимо показать (справочно) затраты на ПИР отдельной строкой как в базисном уровне цен 2001 г., так и в текущем уровне цен с учетом непредвиденных затрат и НДС.</w:t>
            </w:r>
          </w:p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1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highlight w:val="none"/>
              </w:rPr>
            </w:pPr>
          </w:p>
        </w:tc>
        <w:tc>
          <w:tcPr>
            <w:tcW w:w="3227" w:type="dxa"/>
          </w:tcPr>
          <w:p>
            <w:pPr>
              <w:spacing w:line="276" w:lineRule="auto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Требования к согласованию, экспертизе документации.</w:t>
            </w:r>
          </w:p>
        </w:tc>
        <w:tc>
          <w:tcPr>
            <w:tcW w:w="6625" w:type="dxa"/>
          </w:tcPr>
          <w:p>
            <w:pPr>
              <w:spacing w:line="276" w:lineRule="auto"/>
              <w:jc w:val="both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Проведение экспертизы:</w:t>
            </w:r>
          </w:p>
          <w:p>
            <w:pPr>
              <w:spacing w:line="276" w:lineRule="auto"/>
              <w:jc w:val="left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Проектировщик обеспечивает сопровождение сметной документации в органах государственной строительной экспертизы. Согласования проектной документации в соответствующих службах проводятся Заказчиком при участии Проектировщика по доверенности.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br w:type="textWrapping"/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Проектировщик может выступать при подаче ПД на госэкспертизу заявителем – по дополнительному соглашению к договору.</w:t>
            </w:r>
          </w:p>
        </w:tc>
      </w:tr>
    </w:tbl>
    <w:p>
      <w:pPr>
        <w:spacing w:line="276" w:lineRule="auto"/>
        <w:rPr>
          <w:sz w:val="24"/>
          <w:szCs w:val="24"/>
          <w:highlight w:val="none"/>
        </w:rPr>
      </w:pPr>
    </w:p>
    <w:sectPr>
      <w:pgSz w:w="11906" w:h="16838"/>
      <w:pgMar w:top="709" w:right="850" w:bottom="851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4F9A3D"/>
    <w:multiLevelType w:val="singleLevel"/>
    <w:tmpl w:val="CD4F9A3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1AD64F8"/>
    <w:multiLevelType w:val="multilevel"/>
    <w:tmpl w:val="61AD64F8"/>
    <w:lvl w:ilvl="0" w:tentative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TrackMoves/>
  <w:documentProtection w:enforcement="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B6F"/>
    <w:rsid w:val="00004CB7"/>
    <w:rsid w:val="000B11A6"/>
    <w:rsid w:val="000C05EC"/>
    <w:rsid w:val="000C42A5"/>
    <w:rsid w:val="000C64FD"/>
    <w:rsid w:val="000D7BD1"/>
    <w:rsid w:val="001311E5"/>
    <w:rsid w:val="00141609"/>
    <w:rsid w:val="001714AC"/>
    <w:rsid w:val="00185D0C"/>
    <w:rsid w:val="00192D27"/>
    <w:rsid w:val="0023644F"/>
    <w:rsid w:val="00256F94"/>
    <w:rsid w:val="002662C7"/>
    <w:rsid w:val="0027352B"/>
    <w:rsid w:val="00294D45"/>
    <w:rsid w:val="002C4BE1"/>
    <w:rsid w:val="002E71FE"/>
    <w:rsid w:val="00302CEC"/>
    <w:rsid w:val="00315BD5"/>
    <w:rsid w:val="003500C9"/>
    <w:rsid w:val="003521BB"/>
    <w:rsid w:val="003F16FC"/>
    <w:rsid w:val="00412B33"/>
    <w:rsid w:val="00447849"/>
    <w:rsid w:val="00451160"/>
    <w:rsid w:val="00460A47"/>
    <w:rsid w:val="00492875"/>
    <w:rsid w:val="004C021E"/>
    <w:rsid w:val="004D339E"/>
    <w:rsid w:val="004F62CD"/>
    <w:rsid w:val="004F64D0"/>
    <w:rsid w:val="00694F06"/>
    <w:rsid w:val="00705D43"/>
    <w:rsid w:val="00713AC1"/>
    <w:rsid w:val="00722A54"/>
    <w:rsid w:val="00726DEB"/>
    <w:rsid w:val="00753A08"/>
    <w:rsid w:val="007627B4"/>
    <w:rsid w:val="007C4C61"/>
    <w:rsid w:val="007D6F38"/>
    <w:rsid w:val="00815891"/>
    <w:rsid w:val="00843DD9"/>
    <w:rsid w:val="0085794B"/>
    <w:rsid w:val="00894419"/>
    <w:rsid w:val="00917C19"/>
    <w:rsid w:val="00921233"/>
    <w:rsid w:val="00996F6C"/>
    <w:rsid w:val="009E7417"/>
    <w:rsid w:val="00A24B36"/>
    <w:rsid w:val="00A312A8"/>
    <w:rsid w:val="00A3754D"/>
    <w:rsid w:val="00A9696F"/>
    <w:rsid w:val="00AD2FA0"/>
    <w:rsid w:val="00B97BF5"/>
    <w:rsid w:val="00BB53E3"/>
    <w:rsid w:val="00BC1189"/>
    <w:rsid w:val="00C52C95"/>
    <w:rsid w:val="00C544CD"/>
    <w:rsid w:val="00D42BD3"/>
    <w:rsid w:val="00D60B8C"/>
    <w:rsid w:val="00D90629"/>
    <w:rsid w:val="00DE1F39"/>
    <w:rsid w:val="00E9786A"/>
    <w:rsid w:val="00EF4BFC"/>
    <w:rsid w:val="00F17D22"/>
    <w:rsid w:val="00F62745"/>
    <w:rsid w:val="00FD0AFB"/>
    <w:rsid w:val="00FD4607"/>
    <w:rsid w:val="00FF3B6F"/>
    <w:rsid w:val="05DC2EAC"/>
    <w:rsid w:val="0801730F"/>
    <w:rsid w:val="276955AC"/>
    <w:rsid w:val="2EDE093D"/>
    <w:rsid w:val="38A340E6"/>
    <w:rsid w:val="436A1F8F"/>
    <w:rsid w:val="44DA1243"/>
    <w:rsid w:val="47273195"/>
    <w:rsid w:val="5A411D82"/>
    <w:rsid w:val="602124F9"/>
    <w:rsid w:val="71117402"/>
    <w:rsid w:val="77EB43A2"/>
    <w:rsid w:val="7A8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qFormat/>
    <w:uiPriority w:val="99"/>
    <w:rPr>
      <w:rFonts w:cs="Times New Roman"/>
      <w:color w:val="2060A4"/>
      <w:u w:val="none"/>
    </w:rPr>
  </w:style>
  <w:style w:type="paragraph" w:styleId="5">
    <w:name w:val="Body Text 2"/>
    <w:basedOn w:val="1"/>
    <w:link w:val="12"/>
    <w:qFormat/>
    <w:uiPriority w:val="99"/>
    <w:pPr>
      <w:widowControl/>
      <w:autoSpaceDE/>
      <w:autoSpaceDN/>
      <w:adjustRightInd/>
      <w:spacing w:line="360" w:lineRule="auto"/>
      <w:jc w:val="center"/>
    </w:pPr>
    <w:rPr>
      <w:rFonts w:ascii="Calibri" w:hAnsi="Calibri" w:eastAsia="Calibri"/>
      <w:sz w:val="22"/>
      <w:szCs w:val="22"/>
    </w:rPr>
  </w:style>
  <w:style w:type="paragraph" w:styleId="6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7">
    <w:name w:val="Body Text"/>
    <w:basedOn w:val="1"/>
    <w:qFormat/>
    <w:uiPriority w:val="0"/>
    <w:pPr>
      <w:suppressAutoHyphens/>
      <w:spacing w:before="0" w:after="120"/>
    </w:pPr>
  </w:style>
  <w:style w:type="paragraph" w:styleId="8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9">
    <w:name w:val="Normal (Web)"/>
    <w:basedOn w:val="1"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10">
    <w:name w:val="Table Grid"/>
    <w:basedOn w:val="3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2 Знак"/>
    <w:basedOn w:val="2"/>
    <w:link w:val="5"/>
    <w:qFormat/>
    <w:locked/>
    <w:uiPriority w:val="99"/>
    <w:rPr>
      <w:rFonts w:cs="Times New Roman"/>
      <w:lang w:eastAsia="ru-RU"/>
    </w:rPr>
  </w:style>
  <w:style w:type="character" w:customStyle="1" w:styleId="12">
    <w:name w:val="Body Text 2 Char1"/>
    <w:basedOn w:val="2"/>
    <w:link w:val="5"/>
    <w:semiHidden/>
    <w:qFormat/>
    <w:uiPriority w:val="99"/>
    <w:rPr>
      <w:rFonts w:ascii="Times New Roman" w:hAnsi="Times New Roman" w:eastAsia="Times New Roman"/>
      <w:sz w:val="20"/>
      <w:szCs w:val="20"/>
    </w:rPr>
  </w:style>
  <w:style w:type="character" w:customStyle="1" w:styleId="13">
    <w:name w:val="Основной текст 2 Знак1"/>
    <w:basedOn w:val="2"/>
    <w:semiHidden/>
    <w:qFormat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14">
    <w:name w:val="List Paragraph"/>
    <w:basedOn w:val="1"/>
    <w:qFormat/>
    <w:uiPriority w:val="99"/>
    <w:pPr>
      <w:ind w:left="720"/>
      <w:contextualSpacing/>
    </w:pPr>
  </w:style>
  <w:style w:type="character" w:customStyle="1" w:styleId="15">
    <w:name w:val="apple-converted-space"/>
    <w:basedOn w:val="2"/>
    <w:qFormat/>
    <w:uiPriority w:val="99"/>
    <w:rPr>
      <w:rFonts w:cs="Times New Roman"/>
    </w:rPr>
  </w:style>
  <w:style w:type="paragraph" w:customStyle="1" w:styleId="16">
    <w:name w:val="formattext"/>
    <w:basedOn w:val="1"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Style10"/>
    <w:basedOn w:val="1"/>
    <w:qFormat/>
    <w:uiPriority w:val="99"/>
    <w:rPr>
      <w:sz w:val="24"/>
      <w:szCs w:val="24"/>
    </w:rPr>
  </w:style>
  <w:style w:type="paragraph" w:customStyle="1" w:styleId="18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ru-RU" w:bidi="ar-SA"/>
    </w:rPr>
  </w:style>
  <w:style w:type="character" w:customStyle="1" w:styleId="19">
    <w:name w:val="bx-messenger-message"/>
    <w:qFormat/>
    <w:uiPriority w:val="0"/>
  </w:style>
  <w:style w:type="character" w:customStyle="1" w:styleId="20">
    <w:name w:val="Основной шрифт абзаца1"/>
    <w:qFormat/>
    <w:uiPriority w:val="0"/>
  </w:style>
  <w:style w:type="character" w:customStyle="1" w:styleId="21">
    <w:name w:val="Основной шрифт абзаца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1600</Words>
  <Characters>9125</Characters>
  <Lines>76</Lines>
  <Paragraphs>21</Paragraphs>
  <TotalTime>21</TotalTime>
  <ScaleCrop>false</ScaleCrop>
  <LinksUpToDate>false</LinksUpToDate>
  <CharactersWithSpaces>10704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2019-06-07T13:45:00Z</dcterms:created>
  <dc:creator>1</dc:creator>
  <cp:lastModifiedBy>yegor.vavilov</cp:lastModifiedBy>
  <dcterms:modified xsi:type="dcterms:W3CDTF">2021-09-28T10:50:34Z</dcterms:modified>
  <dc:title>«Утверждаю»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03EDB097835E4DFE870C45F142CE055C</vt:lpwstr>
  </property>
</Properties>
</file>