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A78E26" w14:textId="77777777" w:rsidR="004D0F5B" w:rsidRDefault="004D0F5B">
      <w:pPr>
        <w:ind w:right="950"/>
        <w:jc w:val="right"/>
        <w:rPr>
          <w:sz w:val="22"/>
          <w:szCs w:val="22"/>
        </w:rPr>
      </w:pPr>
    </w:p>
    <w:p w14:paraId="71F1CF72" w14:textId="77777777" w:rsidR="004D0F5B" w:rsidRDefault="004D0F5B">
      <w:pPr>
        <w:ind w:firstLine="708"/>
        <w:jc w:val="center"/>
        <w:rPr>
          <w:b/>
        </w:rPr>
      </w:pPr>
    </w:p>
    <w:p w14:paraId="64B0488A" w14:textId="77777777" w:rsidR="004D0F5B" w:rsidRDefault="00A6187D">
      <w:pPr>
        <w:jc w:val="center"/>
      </w:pPr>
      <w:r>
        <w:t>ТЕХНИЧЕСКОЕ ЗАДАНИЕ</w:t>
      </w:r>
    </w:p>
    <w:p w14:paraId="59DBC759" w14:textId="77777777" w:rsidR="004D0F5B" w:rsidRDefault="00A6187D">
      <w:pPr>
        <w:jc w:val="center"/>
      </w:pPr>
      <w:r>
        <w:t xml:space="preserve">на выполнение </w:t>
      </w:r>
      <w:r w:rsidR="000935DB">
        <w:t>работ по привязке типового проекта (в том числе изысканий)</w:t>
      </w:r>
    </w:p>
    <w:p w14:paraId="5F7B8CC7" w14:textId="40942122" w:rsidR="004D0F5B" w:rsidRDefault="00A6187D">
      <w:pPr>
        <w:jc w:val="center"/>
      </w:pPr>
      <w:r>
        <w:t xml:space="preserve"> «Строител</w:t>
      </w:r>
      <w:r w:rsidR="00E92917">
        <w:t>ьство дома культуры на 150 мест»</w:t>
      </w:r>
    </w:p>
    <w:p w14:paraId="742EF2B9" w14:textId="77777777" w:rsidR="004D0F5B" w:rsidRDefault="004D0F5B">
      <w:pPr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2436"/>
        <w:gridCol w:w="7035"/>
      </w:tblGrid>
      <w:tr w:rsidR="004D0F5B" w14:paraId="4B249DE1" w14:textId="77777777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2A31C" w14:textId="77777777" w:rsidR="004D0F5B" w:rsidRDefault="00A6187D">
            <w:pPr>
              <w:jc w:val="center"/>
            </w:pPr>
            <w:r>
              <w:t>№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84568" w14:textId="77777777" w:rsidR="004D0F5B" w:rsidRDefault="00A6187D">
            <w:pPr>
              <w:jc w:val="center"/>
            </w:pPr>
            <w:r>
              <w:t>Перечень основных требований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B979F" w14:textId="77777777" w:rsidR="004D0F5B" w:rsidRDefault="00A6187D">
            <w:pPr>
              <w:jc w:val="center"/>
            </w:pPr>
            <w:r>
              <w:t>Содержание требований</w:t>
            </w:r>
          </w:p>
        </w:tc>
      </w:tr>
      <w:tr w:rsidR="004D0F5B" w14:paraId="74054EE3" w14:textId="77777777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9A8E3" w14:textId="77777777" w:rsidR="004D0F5B" w:rsidRDefault="00A6187D">
            <w:pPr>
              <w:jc w:val="center"/>
            </w:pPr>
            <w: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0F8BD" w14:textId="77777777" w:rsidR="004D0F5B" w:rsidRDefault="00A6187D">
            <w:r>
              <w:t>Информация об объекте:</w:t>
            </w:r>
          </w:p>
          <w:p w14:paraId="50333031" w14:textId="77777777" w:rsidR="004D0F5B" w:rsidRDefault="004D0F5B"/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8AB26" w14:textId="77777777" w:rsidR="004D0F5B" w:rsidRDefault="00A6187D">
            <w:pPr>
              <w:jc w:val="both"/>
            </w:pPr>
            <w:r>
              <w:t xml:space="preserve">Площадь земельного участка в границах отвода составляет - 4224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14:paraId="067ABE34" w14:textId="77777777" w:rsidR="004D0F5B" w:rsidRDefault="00A6187D">
            <w:pPr>
              <w:ind w:firstLineChars="100" w:firstLine="240"/>
              <w:jc w:val="both"/>
            </w:pPr>
            <w:r>
              <w:t>Рельеф участка выраженный. Территория свободная от существующей застройки, и зелёных насаждений.</w:t>
            </w:r>
          </w:p>
          <w:p w14:paraId="2DDF8BDC" w14:textId="4E08D416" w:rsidR="004D0F5B" w:rsidRDefault="00A6187D" w:rsidP="00E92917">
            <w:pPr>
              <w:ind w:firstLineChars="100" w:firstLine="240"/>
              <w:jc w:val="both"/>
            </w:pPr>
            <w:r>
              <w:rPr>
                <w:rStyle w:val="FontStyle34"/>
                <w:sz w:val="24"/>
                <w:szCs w:val="24"/>
                <w:lang w:val="ru-RU"/>
              </w:rPr>
              <w:t xml:space="preserve">Выполнить привязку проектной документации «Дом культуры </w:t>
            </w:r>
            <w:r w:rsidR="00E92917">
              <w:rPr>
                <w:rStyle w:val="FontStyle34"/>
                <w:sz w:val="24"/>
                <w:szCs w:val="24"/>
                <w:lang w:val="ru-RU"/>
              </w:rPr>
              <w:t>со зрительным залом на 150 мест»</w:t>
            </w:r>
            <w:r w:rsidR="00684068">
              <w:rPr>
                <w:rStyle w:val="FontStyle34"/>
                <w:sz w:val="24"/>
                <w:szCs w:val="24"/>
                <w:lang w:val="ru-RU"/>
              </w:rPr>
              <w:t xml:space="preserve"> в Удмуртской Республике.</w:t>
            </w:r>
            <w:bookmarkStart w:id="0" w:name="_GoBack"/>
            <w:bookmarkEnd w:id="0"/>
          </w:p>
        </w:tc>
      </w:tr>
      <w:tr w:rsidR="004D0F5B" w14:paraId="0670B514" w14:textId="77777777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B03DC0" w14:textId="77777777" w:rsidR="004D0F5B" w:rsidRDefault="00A6187D">
            <w:pPr>
              <w:jc w:val="center"/>
            </w:pPr>
            <w:r>
              <w:t>2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D95CA" w14:textId="77777777" w:rsidR="004D0F5B" w:rsidRDefault="00A6187D">
            <w:r>
              <w:t>Стадийность проектирования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A83236" w14:textId="77777777" w:rsidR="004D0F5B" w:rsidRDefault="00A6187D">
            <w:pPr>
              <w:jc w:val="both"/>
            </w:pPr>
            <w:r>
              <w:t>Проектная документация, рабочая документация.</w:t>
            </w:r>
          </w:p>
          <w:p w14:paraId="069B1491" w14:textId="77777777" w:rsidR="004D0F5B" w:rsidRDefault="004D0F5B">
            <w:pPr>
              <w:jc w:val="both"/>
            </w:pPr>
          </w:p>
        </w:tc>
      </w:tr>
      <w:tr w:rsidR="004D0F5B" w14:paraId="2C0D142A" w14:textId="77777777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F6ECC" w14:textId="77777777" w:rsidR="004D0F5B" w:rsidRDefault="00A6187D">
            <w:pPr>
              <w:jc w:val="center"/>
            </w:pPr>
            <w:r>
              <w:t>3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A5A3C" w14:textId="2E3D68C8" w:rsidR="004D0F5B" w:rsidRDefault="00E92917">
            <w:r>
              <w:t>Р</w:t>
            </w:r>
            <w:r w:rsidR="00A6187D">
              <w:t>аботы</w:t>
            </w:r>
            <w:r>
              <w:t xml:space="preserve"> по ПИР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46645" w14:textId="2250CB2F" w:rsidR="004D0F5B" w:rsidRDefault="00A6187D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Инженерно-геологические,</w:t>
            </w:r>
            <w:r w:rsidR="00C9221A">
              <w:rPr>
                <w:sz w:val="24"/>
                <w:szCs w:val="24"/>
              </w:rPr>
              <w:t xml:space="preserve"> инженерно-геодезические,</w:t>
            </w:r>
            <w:r>
              <w:rPr>
                <w:sz w:val="24"/>
                <w:szCs w:val="24"/>
              </w:rPr>
              <w:t xml:space="preserve"> инженерно-экологические изыскания, инженерно-гидрометеорологические изыскания.</w:t>
            </w:r>
          </w:p>
          <w:p w14:paraId="3CE440EE" w14:textId="0EECAE9D" w:rsidR="004D0F5B" w:rsidRDefault="00A6187D">
            <w:pPr>
              <w:jc w:val="both"/>
            </w:pPr>
            <w:r>
              <w:t>2. Привязка д</w:t>
            </w:r>
            <w:r>
              <w:rPr>
                <w:rStyle w:val="FontStyle34"/>
                <w:sz w:val="24"/>
                <w:szCs w:val="24"/>
                <w:lang w:val="ru-RU"/>
              </w:rPr>
              <w:t xml:space="preserve">ома культуры со зрительным залом на 150 </w:t>
            </w:r>
            <w:r w:rsidR="00C9221A">
              <w:rPr>
                <w:rStyle w:val="FontStyle34"/>
                <w:sz w:val="24"/>
                <w:szCs w:val="24"/>
                <w:lang w:val="ru-RU"/>
              </w:rPr>
              <w:t xml:space="preserve">мест </w:t>
            </w:r>
            <w:r w:rsidR="00C9221A">
              <w:t>(</w:t>
            </w:r>
            <w:r>
              <w:t>привязка проекта повторного применения).</w:t>
            </w:r>
          </w:p>
          <w:p w14:paraId="1B9BB877" w14:textId="77777777" w:rsidR="004D0F5B" w:rsidRDefault="00A6187D">
            <w:pPr>
              <w:jc w:val="both"/>
            </w:pPr>
            <w:r>
              <w:t>Общая площадь - 835,40 м2;</w:t>
            </w:r>
          </w:p>
          <w:p w14:paraId="40006414" w14:textId="77777777" w:rsidR="004D0F5B" w:rsidRDefault="00A6187D">
            <w:pPr>
              <w:jc w:val="both"/>
            </w:pPr>
            <w:r>
              <w:t xml:space="preserve">Количество мест в зрительном зале - 150. </w:t>
            </w:r>
          </w:p>
          <w:p w14:paraId="6A0C2B9B" w14:textId="77777777" w:rsidR="004D0F5B" w:rsidRDefault="00A6187D">
            <w:pPr>
              <w:jc w:val="both"/>
            </w:pPr>
            <w:r>
              <w:t>Проектом повторного применения предусмотрены помещения:</w:t>
            </w:r>
          </w:p>
          <w:p w14:paraId="6FF1B910" w14:textId="77777777" w:rsidR="004D0F5B" w:rsidRDefault="00A6187D">
            <w:pPr>
              <w:jc w:val="both"/>
            </w:pPr>
            <w:r>
              <w:t>- вестибюль;</w:t>
            </w:r>
          </w:p>
          <w:p w14:paraId="2755A043" w14:textId="77777777" w:rsidR="004D0F5B" w:rsidRDefault="00A6187D">
            <w:pPr>
              <w:jc w:val="both"/>
            </w:pPr>
            <w:r>
              <w:t>- зрительный зал;</w:t>
            </w:r>
          </w:p>
          <w:p w14:paraId="1AF1F126" w14:textId="77777777" w:rsidR="004D0F5B" w:rsidRDefault="00A6187D">
            <w:pPr>
              <w:jc w:val="both"/>
            </w:pPr>
            <w:r>
              <w:t>- библиотека с читальным залом;</w:t>
            </w:r>
          </w:p>
          <w:p w14:paraId="4EBD0B3B" w14:textId="77777777" w:rsidR="004D0F5B" w:rsidRDefault="00A6187D">
            <w:pPr>
              <w:jc w:val="both"/>
            </w:pPr>
            <w:r>
              <w:t>- зал для занятий хореографией и аэробикой;</w:t>
            </w:r>
          </w:p>
          <w:p w14:paraId="4564BAC3" w14:textId="77777777" w:rsidR="004D0F5B" w:rsidRDefault="00A6187D">
            <w:pPr>
              <w:jc w:val="both"/>
            </w:pPr>
            <w:r>
              <w:t>- кабинеты - студии прикладного искусства и народных промыслов;</w:t>
            </w:r>
          </w:p>
          <w:p w14:paraId="445DACFF" w14:textId="77777777" w:rsidR="004D0F5B" w:rsidRDefault="00A6187D">
            <w:pPr>
              <w:jc w:val="both"/>
            </w:pPr>
            <w:r>
              <w:t>- артистическая, помещения персонала, уборочного инвентаря;</w:t>
            </w:r>
          </w:p>
          <w:p w14:paraId="58C28A87" w14:textId="77777777" w:rsidR="004D0F5B" w:rsidRDefault="00A6187D">
            <w:pPr>
              <w:jc w:val="both"/>
            </w:pPr>
            <w:r>
              <w:t>- две раздевалки с душевыми;</w:t>
            </w:r>
          </w:p>
          <w:p w14:paraId="3A49395B" w14:textId="77777777" w:rsidR="004D0F5B" w:rsidRDefault="00A6187D">
            <w:pPr>
              <w:jc w:val="both"/>
            </w:pPr>
            <w:r>
              <w:t>- санитарные узлы: два узла для посетителей, служебный, для МГН;</w:t>
            </w:r>
          </w:p>
          <w:p w14:paraId="262A2982" w14:textId="77777777" w:rsidR="004D0F5B" w:rsidRDefault="00A6187D">
            <w:pPr>
              <w:jc w:val="both"/>
            </w:pPr>
            <w:r>
              <w:t>- касса и технические помещения.</w:t>
            </w:r>
          </w:p>
          <w:p w14:paraId="6D9834B4" w14:textId="57E2D129" w:rsidR="004D0F5B" w:rsidRDefault="00C9221A">
            <w:pPr>
              <w:snapToGrid w:val="0"/>
              <w:jc w:val="both"/>
            </w:pPr>
            <w:r>
              <w:t>3</w:t>
            </w:r>
            <w:r w:rsidR="00A6187D">
              <w:t>. Инженерные сети:</w:t>
            </w:r>
          </w:p>
          <w:p w14:paraId="032ACE63" w14:textId="77777777" w:rsidR="004D0F5B" w:rsidRDefault="00A6187D">
            <w:pPr>
              <w:jc w:val="both"/>
            </w:pPr>
            <w:r>
              <w:t xml:space="preserve">- </w:t>
            </w:r>
            <w:r>
              <w:rPr>
                <w:i/>
              </w:rPr>
              <w:t>водоснабжение</w:t>
            </w:r>
            <w:r>
              <w:t xml:space="preserve"> с подключением к существующим сетям и устройством водопроводного колодца;</w:t>
            </w:r>
          </w:p>
          <w:p w14:paraId="1C3C5C25" w14:textId="77777777" w:rsidR="004D0F5B" w:rsidRDefault="00A6187D">
            <w:pPr>
              <w:jc w:val="both"/>
              <w:rPr>
                <w:i/>
              </w:rPr>
            </w:pPr>
            <w:r>
              <w:rPr>
                <w:i/>
              </w:rPr>
              <w:t xml:space="preserve">- водоотведение </w:t>
            </w:r>
            <w:r>
              <w:t xml:space="preserve">в проектируемый выгреб; </w:t>
            </w:r>
          </w:p>
          <w:p w14:paraId="52A7C96A" w14:textId="42FBF5E7" w:rsidR="004D0F5B" w:rsidRDefault="00A6187D">
            <w:pPr>
              <w:jc w:val="both"/>
            </w:pPr>
            <w:r>
              <w:rPr>
                <w:i/>
              </w:rPr>
              <w:t xml:space="preserve">- теплоснабжение </w:t>
            </w:r>
            <w:r>
              <w:t xml:space="preserve">- подключение к существующей котельной </w:t>
            </w:r>
          </w:p>
          <w:p w14:paraId="09E6CD6A" w14:textId="77777777" w:rsidR="004D0F5B" w:rsidRDefault="00A6187D">
            <w:pPr>
              <w:jc w:val="both"/>
            </w:pPr>
            <w:r>
              <w:rPr>
                <w:i/>
              </w:rPr>
              <w:t xml:space="preserve">- электроснабжение </w:t>
            </w:r>
            <w:r>
              <w:t xml:space="preserve">внутриплощадочные сети 0,4 </w:t>
            </w:r>
            <w:proofErr w:type="spellStart"/>
            <w:r>
              <w:t>кВ</w:t>
            </w:r>
            <w:proofErr w:type="spellEnd"/>
            <w:r>
              <w:t>;</w:t>
            </w:r>
          </w:p>
          <w:p w14:paraId="7663102E" w14:textId="7B89FEF7" w:rsidR="004D0F5B" w:rsidRDefault="00A6187D">
            <w:pPr>
              <w:jc w:val="both"/>
            </w:pPr>
            <w:r>
              <w:rPr>
                <w:i/>
              </w:rPr>
              <w:t xml:space="preserve">- наружное пожаротушение </w:t>
            </w:r>
            <w:r w:rsidR="00ED01E5">
              <w:rPr>
                <w:i/>
              </w:rPr>
              <w:t>–</w:t>
            </w:r>
            <w:r>
              <w:rPr>
                <w:i/>
              </w:rPr>
              <w:t xml:space="preserve"> </w:t>
            </w:r>
            <w:r>
              <w:t>пож</w:t>
            </w:r>
            <w:r w:rsidR="00ED01E5">
              <w:t xml:space="preserve">арные </w:t>
            </w:r>
            <w:r>
              <w:t xml:space="preserve">резервуары; </w:t>
            </w:r>
          </w:p>
          <w:p w14:paraId="5170A926" w14:textId="77777777" w:rsidR="004D0F5B" w:rsidRDefault="00A6187D">
            <w:pPr>
              <w:jc w:val="both"/>
            </w:pPr>
            <w:r>
              <w:t xml:space="preserve">- </w:t>
            </w:r>
            <w:r>
              <w:rPr>
                <w:i/>
              </w:rPr>
              <w:t>сети связи</w:t>
            </w:r>
            <w:r>
              <w:t xml:space="preserve"> - </w:t>
            </w:r>
            <w:r>
              <w:rPr>
                <w:rStyle w:val="FontStyle35"/>
                <w:i w:val="0"/>
                <w:sz w:val="24"/>
              </w:rPr>
              <w:t>предусмотреть кабельную телефонную связь и Интернет;</w:t>
            </w:r>
          </w:p>
          <w:p w14:paraId="6A15FB22" w14:textId="77777777" w:rsidR="004D0F5B" w:rsidRDefault="00A6187D">
            <w:pPr>
              <w:jc w:val="both"/>
              <w:rPr>
                <w:i/>
              </w:rPr>
            </w:pPr>
            <w:r>
              <w:t xml:space="preserve">- </w:t>
            </w:r>
            <w:r>
              <w:rPr>
                <w:i/>
              </w:rPr>
              <w:t>наружное освещение территории;</w:t>
            </w:r>
          </w:p>
          <w:p w14:paraId="68502981" w14:textId="77777777" w:rsidR="004D0F5B" w:rsidRDefault="00A6187D">
            <w:pPr>
              <w:jc w:val="both"/>
            </w:pPr>
            <w:r>
              <w:rPr>
                <w:i/>
              </w:rPr>
              <w:t>- видеонаблюдение.</w:t>
            </w:r>
          </w:p>
          <w:p w14:paraId="6655381E" w14:textId="77777777" w:rsidR="004D0F5B" w:rsidRDefault="00A6187D">
            <w:pPr>
              <w:snapToGrid w:val="0"/>
              <w:ind w:firstLine="567"/>
              <w:jc w:val="both"/>
            </w:pPr>
            <w:r>
              <w:t xml:space="preserve">Предусмотреть требования по антитеррористической безопасности в соответствии с письмом Министерства образования и науки Удмуртской Республики от 03.05.2018 № 01/01/3385. </w:t>
            </w:r>
          </w:p>
          <w:p w14:paraId="6E56B335" w14:textId="506219F1" w:rsidR="004D0F5B" w:rsidRDefault="00C9221A">
            <w:pPr>
              <w:snapToGrid w:val="0"/>
              <w:jc w:val="both"/>
            </w:pPr>
            <w:r>
              <w:t>4</w:t>
            </w:r>
            <w:r w:rsidR="00A6187D">
              <w:t>. Благоустройство и озеленение территории в границах отведенного участка в минимально необходимых для функционирования проектируемого объекта объемах согласно нормам проектирования.</w:t>
            </w:r>
          </w:p>
          <w:p w14:paraId="0F25F011" w14:textId="77777777" w:rsidR="004D0F5B" w:rsidRDefault="00A6187D">
            <w:pPr>
              <w:snapToGrid w:val="0"/>
              <w:ind w:firstLineChars="250" w:firstLine="600"/>
              <w:jc w:val="both"/>
            </w:pPr>
            <w:r>
              <w:t>Устройство малых архитектурных форм.</w:t>
            </w:r>
          </w:p>
          <w:p w14:paraId="3D7780BC" w14:textId="77777777" w:rsidR="004D0F5B" w:rsidRDefault="00A6187D">
            <w:pPr>
              <w:snapToGrid w:val="0"/>
              <w:ind w:firstLine="567"/>
              <w:jc w:val="both"/>
            </w:pPr>
            <w:r>
              <w:lastRenderedPageBreak/>
              <w:t>Ограждение территории дома культуры.</w:t>
            </w:r>
          </w:p>
          <w:p w14:paraId="0D58D112" w14:textId="2A4FD210" w:rsidR="004D0F5B" w:rsidRPr="00C9221A" w:rsidRDefault="00A6187D" w:rsidP="00C9221A">
            <w:pPr>
              <w:snapToGrid w:val="0"/>
              <w:ind w:firstLine="567"/>
              <w:jc w:val="both"/>
            </w:pPr>
            <w:r>
              <w:t xml:space="preserve">При необходимости вырубки зеленых насаждений выполнить план таксации. </w:t>
            </w:r>
          </w:p>
          <w:p w14:paraId="23595018" w14:textId="5705251D" w:rsidR="004D0F5B" w:rsidRDefault="00ED01E5">
            <w:pPr>
              <w:jc w:val="both"/>
            </w:pPr>
            <w:r>
              <w:t>5</w:t>
            </w:r>
            <w:r w:rsidR="00A6187D">
              <w:t>. Согласование рабочей документации:</w:t>
            </w:r>
          </w:p>
          <w:p w14:paraId="3462772B" w14:textId="77777777" w:rsidR="004D0F5B" w:rsidRDefault="00A6187D">
            <w:pPr>
              <w:numPr>
                <w:ilvl w:val="0"/>
                <w:numId w:val="1"/>
              </w:numPr>
              <w:jc w:val="both"/>
            </w:pPr>
            <w:r>
              <w:t>со службами, выдавшими технические условия;</w:t>
            </w:r>
          </w:p>
          <w:p w14:paraId="40828D47" w14:textId="42E2ACE8" w:rsidR="004D0F5B" w:rsidRDefault="00A6187D">
            <w:pPr>
              <w:numPr>
                <w:ilvl w:val="0"/>
                <w:numId w:val="1"/>
              </w:numPr>
              <w:jc w:val="both"/>
            </w:pPr>
            <w:r>
              <w:t>с Администрацией муниципального образования (фасады, генплан, ПОС);</w:t>
            </w:r>
          </w:p>
          <w:p w14:paraId="2CA6E193" w14:textId="230EE20F" w:rsidR="004D0F5B" w:rsidRPr="00ED01E5" w:rsidRDefault="00A6187D" w:rsidP="00ED01E5">
            <w:pPr>
              <w:numPr>
                <w:ilvl w:val="0"/>
                <w:numId w:val="1"/>
              </w:numPr>
              <w:jc w:val="both"/>
            </w:pPr>
            <w:r>
              <w:t>с ГИБДД (ПОС);</w:t>
            </w:r>
            <w:r w:rsidRPr="00ED01E5">
              <w:t xml:space="preserve"> </w:t>
            </w:r>
          </w:p>
          <w:p w14:paraId="19288E5C" w14:textId="677A1F8E" w:rsidR="004D0F5B" w:rsidRDefault="00ED01E5">
            <w:pPr>
              <w:jc w:val="both"/>
            </w:pPr>
            <w:r>
              <w:t>6</w:t>
            </w:r>
            <w:r w:rsidR="00A6187D">
              <w:t xml:space="preserve">. Получение и оплата справок и согласований: </w:t>
            </w:r>
          </w:p>
          <w:p w14:paraId="43EA1D9D" w14:textId="77777777" w:rsidR="004D0F5B" w:rsidRDefault="00A6187D">
            <w:pPr>
              <w:ind w:firstLine="567"/>
              <w:jc w:val="both"/>
            </w:pPr>
            <w:r>
              <w:t xml:space="preserve">шумовое (в дневное и ночное время) и радиологическое обследования участка; </w:t>
            </w:r>
          </w:p>
          <w:p w14:paraId="077EE0BD" w14:textId="77777777" w:rsidR="004D0F5B" w:rsidRDefault="00A6187D">
            <w:pPr>
              <w:ind w:firstLine="567"/>
              <w:jc w:val="both"/>
            </w:pPr>
            <w:r>
              <w:t>исследования почвы по микробиологическим, санитарно-паразитологическим, химическим показателям, содержанию нефтепродуктов;</w:t>
            </w:r>
          </w:p>
          <w:p w14:paraId="298057D4" w14:textId="77777777" w:rsidR="004D0F5B" w:rsidRDefault="00A6187D">
            <w:pPr>
              <w:ind w:firstLine="567"/>
              <w:jc w:val="both"/>
            </w:pPr>
            <w:r>
              <w:t xml:space="preserve"> справка о наличии (отсутствии) особо охраняемых природных территорий;</w:t>
            </w:r>
          </w:p>
          <w:p w14:paraId="3BB61717" w14:textId="77777777" w:rsidR="004D0F5B" w:rsidRDefault="00A6187D">
            <w:pPr>
              <w:ind w:firstLine="567"/>
              <w:jc w:val="both"/>
            </w:pPr>
            <w:r>
              <w:t xml:space="preserve"> справка о состоянии подземных вод;</w:t>
            </w:r>
          </w:p>
          <w:p w14:paraId="53A0943D" w14:textId="77777777" w:rsidR="004D0F5B" w:rsidRDefault="00A6187D">
            <w:pPr>
              <w:ind w:firstLine="567"/>
              <w:jc w:val="both"/>
            </w:pPr>
            <w:r>
              <w:t xml:space="preserve"> справка о фоновых концентрациях загрязняющих веществ в атмосферном воздухе и о метеоданных;</w:t>
            </w:r>
          </w:p>
          <w:p w14:paraId="5263BB8E" w14:textId="77777777" w:rsidR="004D0F5B" w:rsidRDefault="00A6187D">
            <w:pPr>
              <w:ind w:firstLine="567"/>
              <w:jc w:val="both"/>
            </w:pPr>
            <w:r>
              <w:t xml:space="preserve"> заключение об отсутствии (наличии) полезных ископаемых; </w:t>
            </w:r>
          </w:p>
          <w:p w14:paraId="571F16CB" w14:textId="77777777" w:rsidR="004D0F5B" w:rsidRDefault="00A6187D">
            <w:pPr>
              <w:ind w:firstLine="567"/>
              <w:jc w:val="both"/>
            </w:pPr>
            <w:r>
              <w:t xml:space="preserve">справка о наличии (отсутствии) на территории, подлежащей хозяйственному освоению, объектов культурного наследия, выявленных объектов культурного наследия; </w:t>
            </w:r>
          </w:p>
          <w:p w14:paraId="708170CC" w14:textId="77777777" w:rsidR="004D0F5B" w:rsidRDefault="00A6187D">
            <w:pPr>
              <w:ind w:firstLine="567"/>
              <w:jc w:val="both"/>
            </w:pPr>
            <w:r>
              <w:t>заключение государственной историко-культурной экспертизы земельного участка по результатам археологических работ и т.д.</w:t>
            </w:r>
          </w:p>
          <w:p w14:paraId="5EBA4C46" w14:textId="759E1F6A" w:rsidR="00ED01E5" w:rsidRDefault="00ED01E5" w:rsidP="00ED01E5">
            <w:pPr>
              <w:ind w:firstLine="67"/>
              <w:jc w:val="both"/>
            </w:pPr>
            <w:r>
              <w:t>7. Объект проходит государственную экспертизу -  проектной документации, результатов инженерных изыскательской, сметной  документации</w:t>
            </w:r>
          </w:p>
        </w:tc>
      </w:tr>
      <w:tr w:rsidR="004D0F5B" w14:paraId="515161EB" w14:textId="77777777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B56F8" w14:textId="77777777" w:rsidR="004D0F5B" w:rsidRDefault="00A6187D">
            <w:pPr>
              <w:jc w:val="center"/>
            </w:pPr>
            <w:r>
              <w:lastRenderedPageBreak/>
              <w:t>4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4150C" w14:textId="77777777" w:rsidR="004D0F5B" w:rsidRDefault="00A6187D">
            <w:pPr>
              <w:rPr>
                <w:u w:val="single"/>
              </w:rPr>
            </w:pPr>
            <w:r>
              <w:t>Требования к разработке сметной документации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86CF7" w14:textId="77777777" w:rsidR="004D0F5B" w:rsidRDefault="00A6187D">
            <w:pPr>
              <w:jc w:val="both"/>
            </w:pPr>
            <w:r>
              <w:t>1. При разработке проектно-сметной документации по стадии «Проектная документация» и «Рабочая документация» сводный сметный расчет составить в двух уровнях цен: в базовом (в ценах 2001 года) и в текущем.</w:t>
            </w:r>
          </w:p>
          <w:p w14:paraId="2DB90018" w14:textId="77777777" w:rsidR="004D0F5B" w:rsidRDefault="00A6187D">
            <w:pPr>
              <w:jc w:val="both"/>
              <w:rPr>
                <w:u w:val="single"/>
              </w:rPr>
            </w:pPr>
            <w:r>
              <w:t>2. Стоимость строительства объекта определить по локальным сметным расчетам.</w:t>
            </w:r>
          </w:p>
          <w:p w14:paraId="2D4573AF" w14:textId="77777777" w:rsidR="004D0F5B" w:rsidRDefault="00A6187D">
            <w:pPr>
              <w:jc w:val="both"/>
              <w:rPr>
                <w:u w:val="single"/>
              </w:rPr>
            </w:pPr>
            <w:r>
              <w:t>3. Расчет (предельной) стоимости строительства объекта произвести по укрупненным нормативам цены строительства (НЦС-2020) и приложить к сметной документации.</w:t>
            </w:r>
          </w:p>
          <w:p w14:paraId="5C73C7AE" w14:textId="77777777" w:rsidR="004D0F5B" w:rsidRDefault="00A6187D">
            <w:pPr>
              <w:jc w:val="both"/>
              <w:rPr>
                <w:u w:val="single"/>
              </w:rPr>
            </w:pPr>
            <w:r>
              <w:t>4. При пересчете в текущий уровень к ценам 2001 года применить на строительно-монтажные работы, оборудование и прочие затраты индексы, учтенные в федеральном реестре сметных нормативов, утвержденные письмом Минстроя России на момент предоставления документации в экспертизу.</w:t>
            </w:r>
          </w:p>
          <w:p w14:paraId="60C04682" w14:textId="77777777" w:rsidR="004D0F5B" w:rsidRDefault="00A6187D">
            <w:pPr>
              <w:jc w:val="both"/>
              <w:rPr>
                <w:u w:val="single"/>
              </w:rPr>
            </w:pPr>
            <w:r>
              <w:t>5. В сводном сметном расчете стоимости строительства объекта учесть:</w:t>
            </w:r>
          </w:p>
          <w:p w14:paraId="4B5DE36F" w14:textId="77777777" w:rsidR="004D0F5B" w:rsidRDefault="00A6187D">
            <w:pPr>
              <w:jc w:val="both"/>
            </w:pPr>
            <w:r>
              <w:t>5.1. Затраты на устройство временных зданий и сооружений в размере 3,1% согласно ГСН 81-05-01-2001 (приложение 1 п. 5.4);</w:t>
            </w:r>
          </w:p>
          <w:p w14:paraId="6BEAFCFA" w14:textId="77777777" w:rsidR="004D0F5B" w:rsidRDefault="00A6187D">
            <w:pPr>
              <w:jc w:val="both"/>
            </w:pPr>
            <w:r>
              <w:t>5.2. Затраты на монтаж временных систем видеонаблюдения за строительством объекта на основании данных проекта организации строительства (ПОС) по необходимому набору видеокамер по письму Минстроя УР от 19.03.2018 года №04-01/21/2480;</w:t>
            </w:r>
          </w:p>
          <w:p w14:paraId="30F7F2FD" w14:textId="77777777" w:rsidR="004D0F5B" w:rsidRDefault="00A6187D">
            <w:pPr>
              <w:jc w:val="both"/>
            </w:pPr>
            <w:r>
              <w:t>5.3. Затраты при производстве работ в зимнее время в размере 2,2 % согласно ГСН 81-05-02-2007 (таблица 4 п.11.4);</w:t>
            </w:r>
          </w:p>
          <w:p w14:paraId="3331AA9A" w14:textId="77777777" w:rsidR="004D0F5B" w:rsidRDefault="00A6187D">
            <w:pPr>
              <w:jc w:val="both"/>
            </w:pPr>
            <w:r>
              <w:lastRenderedPageBreak/>
              <w:t>5.4. Затраты на технологическое присоединение к электрическим сетям, сетям водоснабжения, теплоснабжения и т.п., на основании заключенных контрактов;</w:t>
            </w:r>
          </w:p>
          <w:p w14:paraId="136AB5DB" w14:textId="77777777" w:rsidR="004D0F5B" w:rsidRDefault="00A6187D">
            <w:pPr>
              <w:jc w:val="both"/>
            </w:pPr>
            <w:r>
              <w:t xml:space="preserve">5.5. Затраты, связанные с вводом объекта в эксплуатацию, в том числе, замеры искусственного освещения, измерения параметров микроклимата, шума, радиологическое обследование, тепловизионный контроль качества наружных ограждающих конструкций, оформление технических планов и т.п., используя данные прайс-листов, коммерческих предложений и т.п., рассчитанные на основе конъюнктурного анализа рыночных цен (не менее 3-х предложений); </w:t>
            </w:r>
          </w:p>
          <w:p w14:paraId="7FCF5936" w14:textId="77777777" w:rsidR="004D0F5B" w:rsidRDefault="00A6187D">
            <w:pPr>
              <w:jc w:val="both"/>
            </w:pPr>
            <w:r>
              <w:t>5.6. Затраты на пусконаладочные работы на основании локальных сметных расчетов в соответствии с письмом Минрегиона РФ от 13.04.2011 года № ВТ-386/08;</w:t>
            </w:r>
          </w:p>
          <w:p w14:paraId="509E77D5" w14:textId="77777777" w:rsidR="004D0F5B" w:rsidRDefault="00A6187D">
            <w:pPr>
              <w:jc w:val="both"/>
            </w:pPr>
            <w:r>
              <w:t>5.7. Затраты на авторский надзор в соответствии с требованиями СП 246.1325800.2016 г.;</w:t>
            </w:r>
          </w:p>
          <w:p w14:paraId="6A681319" w14:textId="77777777" w:rsidR="004D0F5B" w:rsidRDefault="00A6187D">
            <w:pPr>
              <w:jc w:val="both"/>
            </w:pPr>
            <w:r>
              <w:t>5.8. Затраты на проектно-изыскательские работы на основании заключенных контрактов;</w:t>
            </w:r>
          </w:p>
          <w:p w14:paraId="35B1956D" w14:textId="77777777" w:rsidR="004D0F5B" w:rsidRDefault="00A6187D">
            <w:pPr>
              <w:jc w:val="both"/>
            </w:pPr>
            <w:r>
              <w:t>5.9. Затраты на проведение государственной экспертизы проектной документации и результатов инженерных изысканий и достоверности определения сметной стоимости строительства объекта в соответствии с постановлениями Правительства РФ от 05.03.2007 года № 145, от 18.05.2009 № 427;</w:t>
            </w:r>
          </w:p>
          <w:p w14:paraId="78BE4D49" w14:textId="77777777" w:rsidR="004D0F5B" w:rsidRDefault="00A6187D">
            <w:pPr>
              <w:tabs>
                <w:tab w:val="left" w:pos="900"/>
              </w:tabs>
              <w:jc w:val="both"/>
            </w:pPr>
            <w:r>
              <w:t>5.10. Затраты на строительный контроль в соответствии с постановлением Правительства РФ № 468 от 21.06.2010 года;</w:t>
            </w:r>
          </w:p>
          <w:p w14:paraId="37A7EFCB" w14:textId="77777777" w:rsidR="004D0F5B" w:rsidRDefault="00A6187D">
            <w:pPr>
              <w:tabs>
                <w:tab w:val="left" w:pos="900"/>
              </w:tabs>
              <w:jc w:val="both"/>
            </w:pPr>
            <w:r>
              <w:t>5.11. Затраты на непредвиденные расходы в размере 2% в соответствии с приказом Минрегиона РФ от 01.06.2012 года № 220 и письмом Минстроя УР от 19.02.2018 г. № 04-01/21/1488;</w:t>
            </w:r>
          </w:p>
          <w:p w14:paraId="40A70567" w14:textId="77777777" w:rsidR="004D0F5B" w:rsidRDefault="00A6187D">
            <w:pPr>
              <w:tabs>
                <w:tab w:val="left" w:pos="612"/>
              </w:tabs>
              <w:jc w:val="both"/>
            </w:pPr>
            <w:r>
              <w:t>5.12. За итогом сводного сметного расчета стоимости строительства объекта необходимо предусмотреть (справочно) возврат материалов от разборки временных зданий и сооружений в размере 15 % и затраты на проектно-изыскательские работы отдельной строкой в двух уровнях цен: в базовом (в ценах 2001 года)  и в текущем; в текущем уровне цен начислить НДС (п.4.99 МДС 81-35.2004).</w:t>
            </w:r>
          </w:p>
          <w:p w14:paraId="62872545" w14:textId="322F516D" w:rsidR="004D0F5B" w:rsidRDefault="00A6187D">
            <w:pPr>
              <w:jc w:val="both"/>
            </w:pPr>
            <w:r>
              <w:t xml:space="preserve">6. Локальные сметные расчеты рассчитать с применением сборников федеральных единичных расценок, утвержденных приказом Минстроя России, внесенными в федеральный реестр сметных </w:t>
            </w:r>
            <w:r w:rsidR="00ED01E5">
              <w:t xml:space="preserve">нормативов, </w:t>
            </w:r>
            <w:r>
              <w:t>действующих на момент прохождения экспертизы.</w:t>
            </w:r>
          </w:p>
          <w:p w14:paraId="75ADB4A2" w14:textId="77777777" w:rsidR="004D0F5B" w:rsidRDefault="00A6187D">
            <w:pPr>
              <w:jc w:val="both"/>
            </w:pPr>
            <w:r>
              <w:t>7. Стоимость основных строительных материалов определить по сборникам ФССЦ-2001, включенных в Федеральный реестр сметных нормативов, в случае отсутствия стоимости материалов, изделий и конструкций в сборниках цен 2001 года, сформировать стоимость, используя данные прайс-листов, коммерческих предложений, счетов и т.п., рассчитанную на основе конъюнктурного анализа рыночных цен (не менее 3-х предложений) на текущий момент разработки проектно-сметной документации в рублевом эквиваленте. Сформированную стоимость согласовать Заказчиком (документы на согласование представить на бумажном носителе).</w:t>
            </w:r>
          </w:p>
          <w:p w14:paraId="23F7B2A0" w14:textId="77777777" w:rsidR="004D0F5B" w:rsidRDefault="00A6187D">
            <w:pPr>
              <w:jc w:val="both"/>
            </w:pPr>
            <w:r>
              <w:t xml:space="preserve">8. Документы, подтверждающие проведение ценового мониторинга по выбору поставщиков основных строительных материалов и оборудования, представить с учетом кратчайшего расстояния их доставки до места строительства (п.п.4.25, 4.59 </w:t>
            </w:r>
            <w:r>
              <w:lastRenderedPageBreak/>
              <w:t>МДС 81-35.2004) и приложить к сметной документации (с указанием номера локальной сметы и пунктов в ней);</w:t>
            </w:r>
          </w:p>
          <w:p w14:paraId="708C5CB1" w14:textId="77777777" w:rsidR="004D0F5B" w:rsidRDefault="00A6187D">
            <w:pPr>
              <w:jc w:val="both"/>
            </w:pPr>
            <w:r>
              <w:t>9. Локальные сметные расчеты составлять с учетом сформированных цен, согласованных Заказчиком согласно пункту 8 технического задания.</w:t>
            </w:r>
          </w:p>
          <w:p w14:paraId="53CCF7D2" w14:textId="77777777" w:rsidR="004D0F5B" w:rsidRDefault="00A6187D">
            <w:pPr>
              <w:jc w:val="both"/>
            </w:pPr>
            <w:r>
              <w:t>10. При разработке проектно-сметной документации учесть транспорт строительных материалов сверх 30 км, учтенных в стоимости материала по ФССЦ-2001. Расчет необходимо выполнить на основании проектных данных о массе материалов, изделий и конструкций, классов грузов, с указанием кратчайшего расстояния от выбранных поставщиков до места строительства объекта.</w:t>
            </w:r>
          </w:p>
          <w:p w14:paraId="794C2780" w14:textId="77777777" w:rsidR="004D0F5B" w:rsidRDefault="00A6187D">
            <w:pPr>
              <w:jc w:val="both"/>
            </w:pPr>
            <w:r>
              <w:t>11. Затраты на перевозку рабочих учесть на основании проекта организации строительства (ПОС) по расчету.</w:t>
            </w:r>
          </w:p>
          <w:p w14:paraId="79944F22" w14:textId="77777777" w:rsidR="004D0F5B" w:rsidRDefault="00A6187D">
            <w:pPr>
              <w:jc w:val="both"/>
            </w:pPr>
            <w:r>
              <w:t>12. Затраты на транспортные расходы применить в размере 1 % при отсутствии информации в прайс-листах условий о доставке до места строительства (4.60 МДС 81-35.2004).</w:t>
            </w:r>
          </w:p>
          <w:p w14:paraId="49ACD272" w14:textId="77777777" w:rsidR="004D0F5B" w:rsidRDefault="00A6187D">
            <w:pPr>
              <w:jc w:val="both"/>
            </w:pPr>
            <w:r>
              <w:t>13. Затраты на приобретение технологического оборудования, мебели, инвентаря согласовать с Заказчиком.</w:t>
            </w:r>
          </w:p>
          <w:p w14:paraId="06124C70" w14:textId="77777777" w:rsidR="004D0F5B" w:rsidRDefault="00A6187D">
            <w:pPr>
              <w:jc w:val="both"/>
            </w:pPr>
            <w:r>
              <w:t xml:space="preserve">14. Затраты на сборку </w:t>
            </w:r>
            <w:proofErr w:type="spellStart"/>
            <w:r>
              <w:t>немонтируемого</w:t>
            </w:r>
            <w:proofErr w:type="spellEnd"/>
            <w:r>
              <w:t xml:space="preserve"> оборудования определить в размере 1 % от стоимости, при отсутствии информации в прайс-листах.</w:t>
            </w:r>
          </w:p>
          <w:p w14:paraId="070B232E" w14:textId="77777777" w:rsidR="004D0F5B" w:rsidRDefault="00A6187D">
            <w:pPr>
              <w:jc w:val="both"/>
            </w:pPr>
            <w:r>
              <w:t xml:space="preserve">15. Затраты на устройство подкрановых путей для гусеничных кранов и кранов на </w:t>
            </w:r>
            <w:proofErr w:type="spellStart"/>
            <w:r>
              <w:t>пневмоходу</w:t>
            </w:r>
            <w:proofErr w:type="spellEnd"/>
            <w:r>
              <w:t>, необходимо обосновать проектом организации строительства (ПОС) и учесть при разработке сметной документации.</w:t>
            </w:r>
          </w:p>
        </w:tc>
      </w:tr>
      <w:tr w:rsidR="004D0F5B" w14:paraId="77F5C15E" w14:textId="77777777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655C7" w14:textId="77777777" w:rsidR="004D0F5B" w:rsidRDefault="00A6187D">
            <w:pPr>
              <w:jc w:val="center"/>
            </w:pPr>
            <w:r>
              <w:lastRenderedPageBreak/>
              <w:t>5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5923A" w14:textId="77777777" w:rsidR="004D0F5B" w:rsidRDefault="00A6187D">
            <w:r>
              <w:t>Требование к документации в электронном виде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79A3B" w14:textId="77777777" w:rsidR="004D0F5B" w:rsidRDefault="00A6187D">
            <w:pPr>
              <w:jc w:val="both"/>
            </w:pPr>
            <w:r>
              <w:t xml:space="preserve">1. Формирование электронных документов должно осуществляться с использованием единого файлового формата PDF и программы </w:t>
            </w:r>
            <w:proofErr w:type="spellStart"/>
            <w:r>
              <w:t>Adobe</w:t>
            </w:r>
            <w:proofErr w:type="spellEnd"/>
            <w:r>
              <w:t xml:space="preserve"> </w:t>
            </w:r>
            <w:proofErr w:type="spellStart"/>
            <w:r>
              <w:t>Acrobat</w:t>
            </w:r>
            <w:proofErr w:type="spellEnd"/>
            <w:r>
              <w:t xml:space="preserve">. </w:t>
            </w:r>
          </w:p>
          <w:p w14:paraId="31A49749" w14:textId="77777777" w:rsidR="004D0F5B" w:rsidRDefault="00A6187D">
            <w:pPr>
              <w:jc w:val="both"/>
            </w:pPr>
            <w:r>
              <w:t>2. Все сканированные электронные образы, включая графику, должны быть собраны в отдельные электронные книги формата PDF, каждая книга или чертежи в отдельный PDF-файл. Не допускается формирование документации по принципу «одна страница - один файл».</w:t>
            </w:r>
          </w:p>
          <w:p w14:paraId="124C9ACC" w14:textId="77777777" w:rsidR="004D0F5B" w:rsidRDefault="00A6187D">
            <w:pPr>
              <w:jc w:val="both"/>
            </w:pPr>
            <w:r>
              <w:t>3. Файлы PDF текстовых документов должны предусматривать возможность копирования текстовой части, в случае если система позволяет распознать текст.</w:t>
            </w:r>
          </w:p>
          <w:p w14:paraId="1FDB3E55" w14:textId="77777777" w:rsidR="004D0F5B" w:rsidRDefault="00A6187D">
            <w:pPr>
              <w:jc w:val="both"/>
            </w:pPr>
            <w:r>
              <w:t>4. В файлах PDF могут быть созданы закладки по оглавлению и по полному перечню таблиц и рисунков.</w:t>
            </w:r>
          </w:p>
          <w:p w14:paraId="38F2FB87" w14:textId="77777777" w:rsidR="004D0F5B" w:rsidRDefault="00A6187D">
            <w:pPr>
              <w:jc w:val="both"/>
            </w:pPr>
            <w:r>
              <w:t>5. Наименование файлов должно быть понятным, соответствовать наименованиям, указанным на титульных листах, в основных надписях (штампах) текстовых и графических документов и составу проектной документации.</w:t>
            </w:r>
          </w:p>
          <w:p w14:paraId="5CA829CE" w14:textId="77777777" w:rsidR="004D0F5B" w:rsidRDefault="00A6187D">
            <w:pPr>
              <w:jc w:val="both"/>
            </w:pPr>
            <w:r>
              <w:t>6. Состав материалов сформированного электронного документа и форма его представления (дизайн книг и чертежей) должен обеспечивать при распечатке изготовление полной бумажной копии документа – без каких-либо дополнительных действий со стороны пользователя. Графические изображения должны соответствовать оригиналу, как по масштабу, так и по цветовому отображению и должны быть оптимизированы для просмотра.</w:t>
            </w:r>
          </w:p>
          <w:p w14:paraId="3A58B3C8" w14:textId="77777777" w:rsidR="004D0F5B" w:rsidRDefault="00A6187D">
            <w:pPr>
              <w:jc w:val="both"/>
            </w:pPr>
            <w:r>
              <w:t>7. Формирование электронных документов локальных сметных расчетов должно осуществляться с использованием форматов *XLS, *XLSX, *</w:t>
            </w:r>
            <w:r>
              <w:rPr>
                <w:lang w:val="en-US"/>
              </w:rPr>
              <w:t>XML</w:t>
            </w:r>
            <w:r>
              <w:t>.</w:t>
            </w:r>
          </w:p>
        </w:tc>
      </w:tr>
    </w:tbl>
    <w:p w14:paraId="1F535BB1" w14:textId="1A962F45" w:rsidR="00C517BB" w:rsidRDefault="00C517BB" w:rsidP="00ED01E5"/>
    <w:sectPr w:rsidR="00C517BB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327DA"/>
    <w:multiLevelType w:val="multilevel"/>
    <w:tmpl w:val="393327D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int="default"/>
        <w:u w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u w:val="none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int="default"/>
        <w:u w:val="none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u w:val="none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int="default"/>
        <w:u w:val="none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B9B75EB"/>
    <w:rsid w:val="00006F49"/>
    <w:rsid w:val="000935DB"/>
    <w:rsid w:val="00193523"/>
    <w:rsid w:val="001A17EA"/>
    <w:rsid w:val="0049138A"/>
    <w:rsid w:val="004D0F5B"/>
    <w:rsid w:val="00536F56"/>
    <w:rsid w:val="00644DE5"/>
    <w:rsid w:val="00684068"/>
    <w:rsid w:val="00800A37"/>
    <w:rsid w:val="008B71BA"/>
    <w:rsid w:val="009567F8"/>
    <w:rsid w:val="009C4D1C"/>
    <w:rsid w:val="009D64DF"/>
    <w:rsid w:val="00A6187D"/>
    <w:rsid w:val="00B120FA"/>
    <w:rsid w:val="00BA7F03"/>
    <w:rsid w:val="00C517BB"/>
    <w:rsid w:val="00C9221A"/>
    <w:rsid w:val="00D916ED"/>
    <w:rsid w:val="00E92917"/>
    <w:rsid w:val="00ED01E5"/>
    <w:rsid w:val="00F121EC"/>
    <w:rsid w:val="00FE48EF"/>
    <w:rsid w:val="118B1DA9"/>
    <w:rsid w:val="346F11EC"/>
    <w:rsid w:val="3B9B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F82B40"/>
  <w15:docId w15:val="{C342CEF2-AF91-430E-8A31-303F68BC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nhideWhenUsed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nhideWhenUsed/>
    <w:qFormat/>
    <w:rPr>
      <w:rFonts w:ascii="Times New Roman" w:eastAsia="SimSu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character" w:customStyle="1" w:styleId="FontStyle34">
    <w:name w:val="Font Style34"/>
    <w:basedOn w:val="1"/>
    <w:uiPriority w:val="99"/>
    <w:unhideWhenUsed/>
    <w:rPr>
      <w:rFonts w:ascii="Times New Roman" w:cs="Times New Roman" w:hint="default"/>
      <w:sz w:val="22"/>
      <w:szCs w:val="22"/>
      <w:lang w:val="en-GB" w:eastAsia="en-US"/>
    </w:rPr>
  </w:style>
  <w:style w:type="character" w:customStyle="1" w:styleId="1">
    <w:name w:val="Основной шрифт абзаца1"/>
    <w:link w:val="121"/>
    <w:uiPriority w:val="99"/>
    <w:unhideWhenUsed/>
    <w:qFormat/>
    <w:locked/>
    <w:rPr>
      <w:rFonts w:hint="default"/>
      <w:sz w:val="20"/>
      <w:szCs w:val="20"/>
      <w:lang w:val="en-GB" w:eastAsia="en-US"/>
    </w:rPr>
  </w:style>
  <w:style w:type="paragraph" w:customStyle="1" w:styleId="121">
    <w:name w:val="Знак Знак12 Знак Знак Знак Знак Знак Знак Знак Знак Знак Знак Знак Знак Знак Знак Знак Знак1"/>
    <w:basedOn w:val="a"/>
    <w:link w:val="1"/>
    <w:uiPriority w:val="99"/>
    <w:unhideWhenUsed/>
    <w:qFormat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FontStyle35">
    <w:name w:val="Font Style35"/>
    <w:uiPriority w:val="99"/>
    <w:unhideWhenUsed/>
    <w:rPr>
      <w:rFonts w:ascii="Times New Roman" w:hint="default"/>
      <w:i/>
      <w:sz w:val="22"/>
      <w:szCs w:val="24"/>
    </w:rPr>
  </w:style>
  <w:style w:type="paragraph" w:customStyle="1" w:styleId="ConsNormal">
    <w:name w:val="ConsNormal"/>
    <w:uiPriority w:val="99"/>
    <w:unhideWhenUsed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Times New Roman" w:cs="Arial"/>
    </w:rPr>
  </w:style>
  <w:style w:type="paragraph" w:styleId="a3">
    <w:name w:val="Balloon Text"/>
    <w:basedOn w:val="a"/>
    <w:link w:val="a4"/>
    <w:rsid w:val="00A618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6187D"/>
    <w:rPr>
      <w:rFonts w:ascii="Tahoma" w:eastAsia="SimSun" w:hAnsi="Tahoma" w:cs="Tahoma"/>
      <w:sz w:val="16"/>
      <w:szCs w:val="16"/>
    </w:rPr>
  </w:style>
  <w:style w:type="character" w:styleId="a5">
    <w:name w:val="annotation reference"/>
    <w:basedOn w:val="a0"/>
    <w:semiHidden/>
    <w:unhideWhenUsed/>
    <w:rsid w:val="009567F8"/>
    <w:rPr>
      <w:sz w:val="16"/>
      <w:szCs w:val="16"/>
    </w:rPr>
  </w:style>
  <w:style w:type="paragraph" w:styleId="a6">
    <w:name w:val="annotation text"/>
    <w:basedOn w:val="a"/>
    <w:link w:val="a7"/>
    <w:semiHidden/>
    <w:unhideWhenUsed/>
    <w:rsid w:val="009567F8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semiHidden/>
    <w:rsid w:val="009567F8"/>
    <w:rPr>
      <w:rFonts w:ascii="Times New Roman" w:eastAsia="SimSun" w:hAnsi="Times New Roman" w:cs="Times New Roman"/>
    </w:rPr>
  </w:style>
  <w:style w:type="paragraph" w:styleId="a8">
    <w:name w:val="annotation subject"/>
    <w:basedOn w:val="a6"/>
    <w:next w:val="a6"/>
    <w:link w:val="a9"/>
    <w:semiHidden/>
    <w:unhideWhenUsed/>
    <w:rsid w:val="009567F8"/>
    <w:rPr>
      <w:b/>
      <w:bCs/>
    </w:rPr>
  </w:style>
  <w:style w:type="character" w:customStyle="1" w:styleId="a9">
    <w:name w:val="Тема примечания Знак"/>
    <w:basedOn w:val="a7"/>
    <w:link w:val="a8"/>
    <w:semiHidden/>
    <w:rsid w:val="009567F8"/>
    <w:rPr>
      <w:rFonts w:ascii="Times New Roman" w:eastAsia="SimSu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1528</Words>
  <Characters>8714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10222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lopvg</dc:creator>
  <cp:lastModifiedBy>Александр Баталов</cp:lastModifiedBy>
  <cp:revision>6</cp:revision>
  <cp:lastPrinted>2021-02-04T06:35:00Z</cp:lastPrinted>
  <dcterms:created xsi:type="dcterms:W3CDTF">2021-03-12T10:40:00Z</dcterms:created>
  <dcterms:modified xsi:type="dcterms:W3CDTF">2021-04-01T11:03:00Z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1049-11.2.0.9967</vt:lpwstr>
  </property>
</Properties>
</file>