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Times New Roman" w:hAnsi="Times New Roman" w:cs="Times New Roman" w:eastAsiaTheme="minorHAnsi"/>
          <w:b/>
          <w:color w:val="auto"/>
          <w:sz w:val="20"/>
          <w:szCs w:val="20"/>
          <w:lang w:val="ru-RU" w:eastAsia="en-US"/>
        </w:rPr>
      </w:pPr>
    </w:p>
    <w:tbl>
      <w:tblPr>
        <w:tblStyle w:val="12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Объект проектирования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highlight w:val="yellow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 xml:space="preserve">Разработка проекта на благоустройство территории, ремонт наружных несущих стен, цоколя, утепление наружных стен с последующей отделкой современными негорючими материалами, устройство аэрационных продухов чердачного помещения, ремонт стропильной системы, огнебиозащита деревянных конструкций кровли, переустройство кровельного покрытия, ограждающих конструкций и водосточной системы, систему антиобледенения кровли и водостоков, ремонт входных групп и крылец, ремонт лестничных маршей, устройство тамбура в осях «Б-В/5-6», замену оконных блоков на соответствующие требуемому сопротивлению теплопередаче, дверных блоков, переустройство оснований и покрытий полов а также отделку внутренних помещений, замену инженерного и технологического оборудования, сетей инженерно-технического обеспечения (отопление, вентиляция, электроснабжение, водоснабжение и водоотведение, системы связи, сигнализации и других систем слабых токов), решений для доступа маломобильных групп населения в здание МОУ «Средняя общеобразовательная школа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Срок выполнения работ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Технические характеристики объекта проектирования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Назначение – Среднее образовательное учреждение;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Характеристика</w:t>
            </w:r>
            <w:r>
              <w:rPr>
                <w:rFonts w:ascii="Times New Roman" w:hAnsi="Times New Roman" w:eastAsiaTheme="minorHAnsi"/>
                <w:bCs/>
                <w:color w:val="FF000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- нежилое, отапливаемое (центральное отопление);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Год постройки (согласно сведениям технического паспорта): 1966 год;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 xml:space="preserve">Уровень ответственности – </w:t>
            </w:r>
            <w:r>
              <w:rPr>
                <w:rFonts w:ascii="Times New Roman" w:hAnsi="Times New Roman" w:eastAsiaTheme="minorHAnsi"/>
                <w:bCs/>
                <w:szCs w:val="20"/>
                <w:lang w:val="en-US" w:eastAsia="en-US"/>
              </w:rPr>
              <w:t xml:space="preserve">II </w:t>
            </w: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(нормальный);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 xml:space="preserve">Группа капитальности – </w:t>
            </w:r>
            <w:r>
              <w:rPr>
                <w:rFonts w:ascii="Times New Roman" w:hAnsi="Times New Roman" w:eastAsiaTheme="minorHAnsi"/>
                <w:bCs/>
                <w:szCs w:val="20"/>
                <w:lang w:val="en-US" w:eastAsia="en-US"/>
              </w:rPr>
              <w:t>IV</w:t>
            </w: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 xml:space="preserve"> со сроком службы 100 лет;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 xml:space="preserve">Степень огнестойкости – </w:t>
            </w:r>
            <w:r>
              <w:rPr>
                <w:rFonts w:ascii="Times New Roman" w:hAnsi="Times New Roman" w:eastAsiaTheme="minorHAnsi"/>
                <w:bCs/>
                <w:szCs w:val="20"/>
                <w:lang w:val="en-US" w:eastAsia="en-US"/>
              </w:rPr>
              <w:t>III</w:t>
            </w: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Класс конструктивной пожарной опасности – С1;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Класс функциональной пожарной опасности – Ф.4.1.;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Форма здания – сложная П-образное;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Этажность (наличие подвала) - Литера А - трехэтажное здание с техническим подпольем и необслуживаемым чердаком; Литера А1 и А2 - одноэтажное здание;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Здание не газифицировано;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 xml:space="preserve">Площадь застройки – 4151,1 </w:t>
            </w:r>
            <w:r>
              <w:rPr>
                <w:rFonts w:ascii="Times New Roman" w:hAnsi="Times New Roman"/>
                <w:szCs w:val="20"/>
              </w:rPr>
              <w:t>м</w:t>
            </w:r>
            <w:r>
              <w:rPr>
                <w:rFonts w:ascii="Times New Roman" w:hAnsi="Times New Roman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Лит. А (трехэтажное здание с техническим подпольем и необслуживаемым чердаком), площадью 3496,3 м</w:t>
            </w:r>
            <w:r>
              <w:rPr>
                <w:rFonts w:cs="Arial" w:eastAsiaTheme="minorHAnsi"/>
                <w:bCs/>
                <w:szCs w:val="20"/>
                <w:lang w:eastAsia="en-US"/>
              </w:rPr>
              <w:t>²</w:t>
            </w: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Лит. А1 (спортзал), площадью 331,1 м</w:t>
            </w:r>
            <w:r>
              <w:rPr>
                <w:rFonts w:cs="Arial" w:eastAsiaTheme="minorHAnsi"/>
                <w:bCs/>
                <w:szCs w:val="20"/>
                <w:lang w:eastAsia="en-US"/>
              </w:rPr>
              <w:t>²</w:t>
            </w: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Лит. А2 (актовый зал), площадью 323.7 м</w:t>
            </w:r>
            <w:r>
              <w:rPr>
                <w:rFonts w:cs="Arial" w:eastAsiaTheme="minorHAnsi"/>
                <w:bCs/>
                <w:szCs w:val="20"/>
                <w:lang w:eastAsia="en-US"/>
              </w:rPr>
              <w:t>²</w:t>
            </w: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Строительный объем – 20341,0 м</w:t>
            </w:r>
            <w:r>
              <w:rPr>
                <w:rFonts w:ascii="Times New Roman" w:hAnsi="Times New Roman" w:eastAsiaTheme="minorHAnsi"/>
                <w:bCs/>
                <w:szCs w:val="20"/>
                <w:vertAlign w:val="superscript"/>
                <w:lang w:eastAsia="en-US"/>
              </w:rPr>
              <w:t>3</w:t>
            </w: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Планировочная схема (компоновка) – Коридорного типа;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Наличие лестничных клеток (лестниц) – 4 междуэтажные лестницы;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color w:val="FF000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Фундамент здания – ленточный, сборный железобетонный (блоки ФБС)</w:t>
            </w:r>
            <w:r>
              <w:rPr>
                <w:rFonts w:ascii="Times New Roman" w:hAnsi="Times New Roman" w:eastAsiaTheme="minorHAnsi"/>
                <w:bCs/>
                <w:color w:val="000000" w:themeColor="text1"/>
                <w:szCs w:val="20"/>
                <w:lang w:eastAsia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Несущие стены –</w:t>
            </w:r>
            <w:r>
              <w:rPr>
                <w:szCs w:val="20"/>
              </w:rPr>
              <w:t xml:space="preserve"> </w:t>
            </w: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керамического и силикатного кирпича;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 xml:space="preserve">Межкомнатные перегородки – деревянные и кирпичные ненесущие;  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color w:val="FF000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Перекрытия междуэтажное – железобетонные;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color w:val="FF000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Высота помещений – 3,6 м.;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color w:val="FF000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 xml:space="preserve">Высота по коньку – Литера А - 16,6 м; Литера А1 и А2 - 7,2 м; 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color w:val="FF000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Полы – дощатые окрашенные, паркетные, в санузлах - плитка;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color w:val="FF000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Кровля – Литера А -</w:t>
            </w:r>
            <w:r>
              <w:rPr>
                <w:szCs w:val="20"/>
              </w:rPr>
              <w:t xml:space="preserve"> </w:t>
            </w: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вальмовая с наружным организованным водостоком; Литера А1 и А2 - плоская малоуклонная с неорганизованным водостоком, покрытие – рулонное;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color w:val="FF000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Стропильные конструкции – деревянные наслонные;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Оконные проёмы – окна из ПВХ-профиля с однокамерными стеклопакетами;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Дверные проёмы – деревянные, простые, окрашенные масляной краской, а также из ПВХ-профиля. Наружные двери - металлические;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Лестницы – внутренние, железобетонные двухмаршевые;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Внутренняя отделка – штукатурка, водоэмульсионная окраска, облицовка керамической плиткой, потолки – водоэмульсионная окраска, потолки типа «Армстронг»;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Прочие – карнизы, крыльца;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Санитарно-технические устройства – водопровод, канализация, центральное отопление, вентиляция;</w:t>
            </w:r>
          </w:p>
          <w:p>
            <w:pPr>
              <w:pStyle w:val="13"/>
              <w:numPr>
                <w:ilvl w:val="0"/>
                <w:numId w:val="2"/>
              </w:numPr>
              <w:ind w:left="493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Электротехнические устройства – электроосвещение, телефон, электрочасы, электроплиты;</w:t>
            </w:r>
          </w:p>
          <w:p>
            <w:pPr>
              <w:pStyle w:val="13"/>
              <w:numPr>
                <w:ilvl w:val="0"/>
                <w:numId w:val="2"/>
              </w:numPr>
              <w:ind w:left="488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Средства связи - локальные слаботочные сети, телефония, интернет, пожарно-охранная сигнализация с выводом сигналов на пожарную часть и охранное предприятие.</w:t>
            </w:r>
          </w:p>
          <w:p>
            <w:pPr>
              <w:pStyle w:val="13"/>
              <w:ind w:left="488"/>
              <w:jc w:val="both"/>
              <w:rPr>
                <w:rFonts w:ascii="Times New Roman" w:hAnsi="Times New Roman" w:eastAsiaTheme="minorHAnsi"/>
                <w:bCs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Краткая характеристика состояния объекта проектирования и его элементов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  <w:t>Фундаменты здания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Фундамент ленточный. Материал кирпичная кладка по бетонным блокам. Глубина заложения фундамента от поверхности земли 1,8 м., от пола первого этажа 3,0 м. Толщина фундамента 600 мм., ширина подошвы 1400 мм;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2. Гидроизоляция обмазочная из битума;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Цоколь: Кирпичная армированная кладка из обыкновенного керамического полнотелого кирпича (по ГОСТ 530-2012) на цементно-песчаном растворе. Отделка - цементно-песчаная штукатурка;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4. Отмостка: По периметру здания, асфальтобетонная, шириной 0,8 – 1,0 м, а также асфальтированные площадки;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5. Отклонения стен подвала от положения вертикали, превышающие предельно-допустимые значения, не зафиксированы.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>Выявленные дефекты и повреждения: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>1. По цокольной части выявлены участки со следами замачивания и разрушения отделки (шелушения окраски);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2. Основания фундаментов: По наличию отдельных осадочных трещин «старого» происхождения в несущих стенах из углов оконных и дверных проемов и в подоконных частях определяются периодические незначительные неравномерные осадки основания фундаментов;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>3. Искривления горизонтальных линий цоколя не наблюдаются;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>4. Физический износ фундаментов составляет - 20%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5. Техническое состояние, фундаментных подушек, стен технического подполья, гидроизоляции, цоколя, отмостки – работоспособное.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  <w:t>Несущие стены: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Наружные - сплошная двухслойная кирпичная кладка из полнотелого керамического кирпича на цементно-песчаном растворе с горизонтальным армированием, с наружной облицовкой силикатным кирпичом, толщиной - 510 мм (в чистоте);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2. Внутренние несущие продольные стены из полнотелого керамического кирпича с вытяжными вентиляционными каналами из классов и санузлов, 250, 380 и 510 мм (в чистоте);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Система кладки цепная;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4. Перемычки над оконными и дверными проемами бетонные, брускового типа;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Дефекты и повреждения: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Участки замачивания фасадов;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Участки с лещадным разрушением кирпичной кладки;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3. Участки отслоения облицовочного слоя клаки наружных стен (силикатного кирпича);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4. Вертикальные и наклонные осадочные трещины в наружных несущих стенах;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5. Участки замачивания внутренних стен;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6. Наружные несущие стены не соответствует требованиям по теплопередаче;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Отклонения несущих стен от вертикали, превышающие предельно-допустимые значения, не зафиксированы;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7. Физический износ составляет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- 45%;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8.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– ограниченно-работоспособное;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  <w:t xml:space="preserve">Межкомнатные перегородки: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Перегородки – деревянные и из керамического кирпича, не несущие, установлены по перекрытиям;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Толщина </w:t>
            </w:r>
            <w:r>
              <w:rPr>
                <w:rFonts w:ascii="Arial" w:hAnsi="Arial" w:cs="Arial" w:eastAsiaTheme="minorHAnsi"/>
                <w:bCs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100 - 150 мм;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Дефекты и повреждения: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Локальные участки разрушений и общий физический износ внутренних отделочных покрытий;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Отсутствие тамбура при входе в осях «Б-В/5-6», что не соответствует требованиям;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Физический износ составляет Ф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vertAlign w:val="subscript"/>
                <w:lang w:val="ru-RU" w:eastAsia="en-US"/>
              </w:rPr>
              <w:t>к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=20%;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4. Техническое состояние – работоспособное.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  <w:t>Междуэтажные перекрытия</w:t>
            </w:r>
            <w:r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  <w:t xml:space="preserve">: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Тип перекрытия – балочные, плоские из сборных железобетонных многопустотных плит размером 0,8×6,0 м высотой 220 мм и доборных монолитных участков;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Армирование - продольное армирование из стержней периодической арматуры Ø10, 12, 14 мм класса А-III;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Дефекты и повреждения: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Следы увлажнения (локальные участки) с износом отделочных покрытий, локальные участки отслоения отделочных слоев в классах, коридорах, санузлах;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Физический износ составляет - 15%;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Техническое состояние – работоспособное.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  <w:t>Стропильные конструкции крыши</w:t>
            </w:r>
            <w:r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  <w:t>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Тип строительных конструкций – наслоенные;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2. Стропильные ноги со средним шагом 1,2 – 1,5 м с опорой на мауэрлаты по наружным несущим стенам в карнизной части и на продольную ригельную раму в пролете по внутренней несущей стене; 3. К стропильным ногам выполнены подкосы со стойкой и затяжками;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4. Мауэрлат - брус, сечением 120×120 мм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5. Стропила - сдвоенная доска, сечением 220(h)×50 мм, шаг 1,3 м;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6. Стойки - брус сечением 150×150 мм, шаг 1,3 м;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7. Подкосы - сдвоенная доска, сечением 180(h)×40 мм и 150×150 мм;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8. Затяжка - сдвоенная доска, сечением 200(h)×40 мм и 150(h)×50 мм;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9. Гидроизоляция - мембранная гидроизоляционная пленка («JUTAFOL»);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Выявленные дефекты и повреждения: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Противоветровые связи стропильных ног не выявлены, что не соответствуют фактическим ветровым нагрузкам для данного региона;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Участки со следами замачивания и увлажнения деревянных конструкций стропильной системы крыши;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Следы гниения и усушки древесины конструкций стропильной системы крыши;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4. Недостаточная вентиляция чердачного помещения из-за заделки продухов в карнизной части (изнутри);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5. Активное образование конденсата на конструкциях крыши и стен с последующей инфильтрацией влаги в помещения;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6. Значительные прогибы стропильных конструкций не зафиксирован; 7. Физический износ - составляет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30;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8. Техническое состояние – ограничено- работоспособное.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eastAsia="en-US"/>
              </w:rPr>
              <w:t>Кровля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:</w:t>
            </w:r>
          </w:p>
          <w:p>
            <w:pPr>
              <w:pStyle w:val="16"/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"/>
              </w:rPr>
              <w:t>1. Тип кровли - вальмовая с наружным организованным водостоком из стали с покрытием из проф листа (в нахлёст) по сплошной деревянной обрешётке из доски 100х</w:t>
            </w:r>
            <w:r>
              <w:rPr>
                <w:bCs/>
                <w:sz w:val="20"/>
                <w:szCs w:val="20"/>
              </w:rPr>
              <w:t>30 мм с шагом 200…250 мм.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Дефекты и повреждения: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1. Недостаточный нахлест листов кровельного покрытия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2. Участки со следами замачивания и увлажнения деревянной обрешетки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3.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Следы гниения и усушки древесины обрешетки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4. Физический износ составляет -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20%;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5.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– ограниченно-работоспособное.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  <w:t>Перекрытия и покрытия (литер А1 и А2)</w:t>
            </w:r>
            <w:r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  <w:t xml:space="preserve">: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Тип перекрытий и конструктивное решение – балочные, плоские из сборных железобетонных ребристых плит размером 1,5×6,0 м, высотой 300 мм, уложенных в поперечном направлении по сборным железобетонным двутавровым балкам покрытия, высотой 0,8 м, уложенных по несущим стенам в поперечном направлении.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Дефекты и повреждения: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Следы увлажнения (локальные участки) с износом отделочных покрытий, локальные участки отслоения отделочных слоев в помещении пищеблока, актового зала, спортивного зала;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Прогибы плит перекрытия - не зафиксированы;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Физический износ составляет - 15%;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4. Техническое состояние – работоспособное.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  <w:t>Лестницы междуэтажные: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>1. Тип лестниц - внутренние, двухмаршевые с параллельным расположением маршей в плане, выполнены из железобетона;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2. Лестничные марши шириной 1,2 м. выполнены из наборных железобетонных ступеней типа ЛС по стальным косоурам из прокатного двутавра № 14;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3. Лестничные площадки шириной 1,2, 1,5 м выполнены сборными железобетонными консольными;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>4. Перильное ограждение - металлическое с деревянным поручнем.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Дефекты и повреждения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1. Сколы бетона ступеней лестниц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2. Разрушение защитного слоя бетона лестничного марша с оголением арматуры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3. Физический износ составляет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- 20%;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– работоспособное.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  <w:t>Входные группы (крыльца):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Конструктивное решение, материал - кирпичная кладка, сборный и монолитный железобетон (ступени).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2. Центральные входные группы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ru-RU"/>
              </w:rPr>
              <w:t>- б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етонное основание с монолитными ступенями. Ширина верхней площадки 2,37 м, длина (по ступеням) 2,8 м.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Крыльца - кирпичные оштукатуренные в осях «А-Б/1», «Е/2-3», «Е/10-11», «Г/11-12») с наборными ступенями шириной 2,4 м и 1,7 м.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Дефекты и повреждения: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Разрушение (замачивание, трещины и отслоение) штукатурного слоя крылец.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Разрушение бетона ступеней лестниц.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3. Деформации перильных ограждений.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4. Разрушение бетона козырьков входных групп.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Физический износ составляет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- 40%.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– ограниченно работоспособное.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  <w:t>Полы (основания и покрытия)</w:t>
            </w:r>
            <w:r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  <w:t>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Тип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en-US" w:eastAsia="en-US"/>
              </w:rPr>
              <w:t>I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- деревянные лаги, сечением 50×50 мм, половая доска, t=30 мм, покрытие – линолеум и без покрытия;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Тип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en-US" w:eastAsia="en-US"/>
              </w:rPr>
              <w:t>II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- железобетонная стяжка t=50 мм, выравнивающая цементно-песчаная стяжка, t=20 - 30 мм, покрытие – керамическая напольная плитка.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Дефекты и повреждения: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Истирания, разрывы и смятия рулонных покрытий;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Истирания и сколы керамической напольной плитки в санузлах и подсобных помещениях;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3. Продавливания и скрип дощатых полов;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4. </w:t>
            </w: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Физический износ составляет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- 40%;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5.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– ограничено работоспособное.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  <w:t>Оконные и дверные проемы: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Тип заполнения: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 1. Оконные блоки из однокамерных стеклопакетов в рамах из ПВХ профилей, в деревянных рамах с одно и двухплоскостным открыванием;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>2.  Дверные блоки деревянные, окрашенные и из ПВХ-профиля;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>3. Наружные двери – металлические.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Дефекты и повреждения: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1. Неплотный притвор дверных полотен деревянных дверей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2. Повреждение дверных полотен, косяков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3. Осадка дверных полотен деревянных дверей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4. Рассыхание дверных коробок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5. Повреждения наличников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6. Шелушение и отслоение окрасочного покрытия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7. Приборы отдельных деревянных дверей (петли, ручки) утрачены или неисправны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8. Ок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о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 xml:space="preserve">нные блоки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из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 xml:space="preserve"> однокамерных стеклопакетов, с сопротивлением теплопередаче, равным 0,32 (см. табл. 4 ГОСТ 24866-2014 «Стеклопакеты клееные строительного назначения. Технические условия»), что не соответствует требуемому значению сопротивление теплопередаче, которое составляет 0,51 (согласно требованиям, табл. 3 СП 50.13330.2012 «Тепловая защита зданий»)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9. Поврежденные (сломанные) подоконники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10. Физический износ деревянных оконных блоков составляет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- 60%;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11. Физический износ дверных блоков составляет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- 60%;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12.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оконных блоков ПВХ – работоспособное;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13.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деревянных оконных блоков – ограниченно-работоспособное;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14.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дверных блоков – ограниченно работоспособное.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  <w:t>Отделочные покрытия стен и потолков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Отделка стен здания – цементно-песчаная и гипсовая штукатурка, водоэмульсионная окраска, оклейка обоями, обшивка панелями, часть стен облицована глазурованной керамической плиткой. 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Внутренняя отделка: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2. Отделка потолков здания – водоэмульсионная и известковая, отдельные помещения оборудованы подвесным потолком типа «Армстронг».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Дефекты и повреждения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: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Потемнения и загрязнения окрасочных слоев, образование матовых пятен и подтеков (локальные участки);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Следы протечек, увлажнений, ржавые пятна, отслоение, шелушение, вздутие и отпадение окрасочного слоя со шпатлевкой (локальные участки);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Трещины, мелкие пробоины, местами отслоение и разрушения штукатурного слоя;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color w:val="auto"/>
                <w:sz w:val="20"/>
                <w:szCs w:val="20"/>
                <w:lang w:val="ru-RU" w:eastAsia="en-US"/>
              </w:rPr>
              <w:t xml:space="preserve">4. Физический износ составляет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- 60%.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5.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– недопустимое.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  <w:t>Система</w:t>
            </w: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eastAsia="en-US"/>
              </w:rPr>
              <w:t xml:space="preserve"> отопления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Система теплоснабжения – от городских сетей, тепловой пункт отсутствует;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Узел ввода в осях «Г-Д/5-6»;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На вводе в здание установлены приборы учёта;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4. Система отопления зависимая двухтрубная с верхней разводкой в уровне чердака. Магистральные трубопроводы проложены вдоль средних несущих стен. Магистральные трубопроводы, стояки, разводка в техническом подполье и по этажам выполнены из стальных черных труб диаметром от Øу=25 мм по Øу=80 мм (на вводе теплоносителя);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5. Параметры теплоносителя – 90 – 70 °С;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6. Узел теплообменника в осях «Б-В/2»;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7. Приборы отопления чугунные радиаторы типа МС-140-500;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8. Балансировочная и запорная арматура имеется.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Дефекты и повреждения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: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Стояки и трубы отопления через перекрытия и стены проложены без гильз;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Выявлены места коррозии и подтеков в узлах соединения труб и радиаторов отопления;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Наблюдается повышенный моральный износ системы отопления;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4. Система отопления частично обеспечивает требуемый температурный режим помещений;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5. Физический износ составляет - 60%;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6.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– ограниченно-работоспособное.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  <w:t>Система вентиляции</w:t>
            </w:r>
            <w:r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  <w:t>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1. Конструктивное решение - естественная неорганизованная система вентиляции;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Приток воздуха -  через вентиляционные решетки в наружных стенах и оконные фрамуги;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Вытяжка воздуха - по вентиляционным каналам из кирпича сечением 120х120 мм. В помещениях пищеблока осуществляется механическим побуждением вытяжными установками, установленными в помещении кухни, путем сбора воздуха из помещений и кухонных приборов (технологического оборудования) по жестяным воздуховодам прямоугольного переменного сечения, подвешенным к потолкам кухни и выбросом на улицу.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Дефекты и повреждения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: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Засорение вент. каналов бытовой копотью и биогенными загрязнениями;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2. Требуемый воздухообмен помещений обеспечивается частично;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 Физический износ составляет - 40%;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4.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– работоспособное.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Системы водоснабжения</w:t>
            </w:r>
            <w:r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  <w:t>: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Источник водоснабжения – наружные водопроводные городские сети;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Узел ввода холодной воды в осях в осях «Д/2»;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Узел ввода горячей воды (диаметром Ду25) на теплообменник расположен совместно с узлом ввода прямого и обратного теплопроводов;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4. На вводе в здание установлены приборы учёта по оси «Г-Д/5-6»;  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5.Конструктивное решение - система внутреннего холодного водоснабжения выполнена по тупиковой схеме с нижней разводкой магистралей. Система внутреннего горячего водоснабжения выполнена по тупиковой схеме с нижней разводкой магистралей; </w:t>
            </w:r>
          </w:p>
          <w:p>
            <w:pPr>
              <w:pStyle w:val="16"/>
              <w:jc w:val="both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6. Магистральные трубопроводы проложены </w:t>
            </w:r>
            <w:r>
              <w:rPr>
                <w:bCs/>
                <w:color w:val="auto"/>
                <w:sz w:val="20"/>
                <w:szCs w:val="20"/>
              </w:rPr>
              <w:t>в техническом подполье.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7. Разводка к умывальникам в санузлах по этажам выполнена из полипропиленовых труб.  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8. Магистральные трубопроводы и стояки выполнены из стальных черных труб; 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9. Пользовательские приборы – унитазы, мойки, раковины;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10. Запорная арматура –  установлены вентили и задвижки; 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Дефекты и повреждения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Коррозия магистральных трубопроводов на вводе и разводках до стояков;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2. Теплоизоляция трубопроводов горячего водоснабжения отсутствует; 3. Трубопроводы разводок до стояков частично корродированы со следами протечек, имеются участки с замененными трубопроводами;</w:t>
            </w:r>
          </w:p>
          <w:p>
            <w:pP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4. Физический износ составляет - 60%;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5.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Техническое состояние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– ограниченно-работоспособное.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Система канализации</w:t>
            </w:r>
            <w:r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val="ru-RU" w:eastAsia="en-US"/>
              </w:rPr>
              <w:t>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Хозяйственно-бытовая канализация - выпуск в городскую сеть;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2. Система наружной канализации осуществляется через приемные и угловые канализационные колодцы;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Система внутренней канализации состоит из приёмников сточных вод и сети трубопроводов;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4. Магистральные трубопроводы и стояки выполнены из чугунных труб Ø100 мм;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5. Отводы от умывальников выполнены из пластиковых и чугунных труб Ø50;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6. Канализационные трубопроводы и стояки проложены открыто у внутренних стен;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Дефекты и повреждения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: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Находится в ветхом состоянии;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2. Общий моральный износ;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Физический износ системы – не менее 60%;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4. Не отвечает требованиям по ресурсо- и энергосбережению, а также нормативным требованиям;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Техническое состояние – ограниченно-работоспособное.</w:t>
            </w:r>
          </w:p>
          <w:p>
            <w:pPr>
              <w:spacing w:after="120"/>
              <w:ind w:firstLine="68"/>
              <w:jc w:val="both"/>
              <w:rPr>
                <w:rFonts w:ascii="Times New Roman" w:hAnsi="Times New Roman" w:cs="Times New Roman" w:eastAsia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eastAsia="en-US"/>
              </w:rPr>
              <w:t>Система электро</w:t>
            </w:r>
            <w:r>
              <w:rPr>
                <w:rFonts w:ascii="Times New Roman" w:hAnsi="Times New Roman" w:cs="Times New Roman" w:eastAsiaTheme="minorHAnsi"/>
                <w:b/>
                <w:bCs/>
                <w:color w:val="auto"/>
                <w:sz w:val="20"/>
                <w:szCs w:val="20"/>
                <w:lang w:val="ru-RU" w:eastAsia="en-US"/>
              </w:rPr>
              <w:t xml:space="preserve">снабжения: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Источник электроснабжения – от трансформаторной подстанции;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2. Электроснабжение здания выполнено к ВРУ;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3. Шкаф ВРУ расположен под лестницей в осях «Г-Д/78».В шкафу ВРУ расположены приборы учета электроэнергии. ВРУ опечатано;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4. Номинальное напряжение питающей сети, распределительной сети: 10/0,4 кВ; 380/220 В;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5. Категория электроприёмников–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en-US" w:eastAsia="en-US"/>
              </w:rPr>
              <w:t>II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 и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en-US" w:eastAsia="en-US"/>
              </w:rPr>
              <w:t>III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6.Распределение электроэнергии к конечным потребителям осуществляется от распределительных панелей и групповых щитов;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7. Кабельные линии из медных и алюминиевых проводок проложены закрыто под штукатуркой. Местами дополнительные проводки в кабельных каналах и гофротрубах;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8. Конечные потребители – технологические и бытовые розетки, осветительные приборы (выбраны по типу помещения);  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Дефекты и повреждения: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1. Защита розеток устройствами защитного отключения (УЗО) не произведена;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2. Следы ремонтов системы с частичной заменой распределительных сетей и приборов;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3. Наличие временных проводок;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4. Имеет место применение двухжильных алюминиевых кабельных проводок;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5. Недопустимое соединение скрутками алюминиевых и медных кабельных линий;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6. Наблюдается отсутствие части приборов и крышек к ним;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7. Потеря эластичности изоляции проводов;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8. Изоляция в местах сведений высохла, происходит осыпание изоляции;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9. Наблюдаются провесы проводов и повреждения щитков;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10. Линии выполнены кабелями без индекса нг-LS и нг-FRLS;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11. Соединение нулевого проводника в отдельных щитах не соответствует требованиям безопасной эксплуатации электроустановок п. 1.7 ПУЭ 7.0;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12. Система уравнивания потенциалов не соответствует п. 1.7 ПУЭ 7.0;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13. Физический износ системы – не менее 60%;</w:t>
            </w:r>
          </w:p>
          <w:p>
            <w:pPr>
              <w:pStyle w:val="16"/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Техническое состояние – ограниченно-работоспособное.</w:t>
            </w:r>
          </w:p>
          <w:p>
            <w:pPr>
              <w:pStyle w:val="16"/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Слаботочные системы (система связи и сигнализации для ММГН, системы внутренней связи, АПС, СКУД, ОС, видеонаблюдения, телефонизации, часофикации, радиофикации, телевидения и интернет):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Слаботочные системы представлены: телефонией, телевидением, сетью передачи данных (интернет), звонковой сигнализацией, пожарно-охранной сигнализацией с выводом сигналов на пожарную часть и охранное предприятие; 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Система контроля и управления доступом состоит из наружной панели вызова, внутреннего приемного блока, расположенного на пульте охраны в вестибюле, замка и доводчика автоматического закрывания двери; </w:t>
            </w:r>
          </w:p>
          <w:p>
            <w:pPr>
              <w:pStyle w:val="16"/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Система проводного радиовещания находится в ограниченно-рабочем состоянии.</w:t>
            </w:r>
          </w:p>
          <w:p>
            <w:pPr>
              <w:pStyle w:val="16"/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Дефекты и повреждения: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Системы: АПС, телефонизации, телевидения, передачи данных (интернет), охранной и тревожной сигнализации, звонковой сигнализации, экстренной связи – не соответствуют современным нормам по пожарной безопасности 69-ФЗ, постановлению Правительства РФ от 26.12.2014г. №1521 «Технический регламент о безопасности зданий и сооружений», а также в части пунктов 4.18.4.19 СП 118.13330.2012;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Система СКУД не соответствует требованиям ГОСТ Р 51241-2008 «Средства и системы контроля и управления доступом. Классификация. Общие технические требования» и ГОСТ Р 54831-2011;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Здание не оборудовано следующими системами: система связи и сигнализации для ММГН, системы внутренней связи (СОУЭ, СОТ, СОО), внутреннего и наружного видеонаблюдения, часофикации.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Общий моральный износ;</w:t>
            </w:r>
          </w:p>
          <w:p>
            <w:pPr>
              <w:pStyle w:val="1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 Физический износ системы – не менее 60%;</w:t>
            </w:r>
          </w:p>
          <w:p>
            <w:pPr>
              <w:pStyle w:val="16"/>
              <w:spacing w:after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 Техническое состояние – ограниченно-работоспособное.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Наличие технической          документации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Технический паспорт здания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 по состоянию на 18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.06.2007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color w:val="auto"/>
                <w:sz w:val="20"/>
                <w:szCs w:val="20"/>
                <w:lang w:eastAsia="en-US"/>
              </w:rPr>
              <w:t xml:space="preserve">Технический отчёт по </w:t>
            </w:r>
            <w:r>
              <w:rPr>
                <w:rFonts w:ascii="Times New Roman" w:hAnsi="Times New Roman" w:eastAsiaTheme="minorHAnsi"/>
                <w:bCs/>
                <w:sz w:val="20"/>
                <w:szCs w:val="20"/>
                <w:lang w:eastAsia="en-US"/>
              </w:rPr>
              <w:t xml:space="preserve">результатам выполнения работ по комплексному обследованию технического состояния здания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МОУ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СОШ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№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22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Times New Roman" w:hAnsi="Times New Roman" w:eastAsiaTheme="minorHAnsi"/>
                <w:bCs/>
                <w:sz w:val="20"/>
                <w:szCs w:val="20"/>
                <w:lang w:eastAsia="en-US"/>
              </w:rPr>
              <w:t xml:space="preserve">расположенного по адресу: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Московская область, Городской округ Подольск, г. Подольск, просп. Юных Ленинцев, д. 90,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 xml:space="preserve"> выданное ООО «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АСК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 xml:space="preserve">» составлен по состоянию на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>01.03.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201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  <w:t xml:space="preserve">9 </w:t>
            </w: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г.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Перечень нормативных документов, в соответствии с которыми необходимо выполнить проектирование.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Градостроительный кодекс Российской Федерации;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Федеральный закон от 22.07.2008 № 123-ФЗ «Технический регламент о требованиях пожарной безопасности»;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Федеральный закон от 30.12.2009 № 384-ФЗ «Технический регламент о безопасности зданий и сооружений»;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Постановление Правительства Российской Федерации от 25.04.2012 №390 «О противопожарном режиме»;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Постановление Правительства РФ от 7 октября 2017 г. N 1235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"Об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(территорий)";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Постановление Правительства Московской области от 27 марта 2018 г. № 195/12 «Об утверждении Плана мероприятий по созданию, развитию и эксплуатации системы технологического обеспечения региональной общественной безопасности и оперативного управления "Безопасный регион" и внесении изменений в постановление Правительства Московской области от 27.01.2015 N 23/3 "О создании в Московской области системы технологического обеспечения региональной общественной безопасности и оперативного управления "Безопасный регион";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Постановление Правительства Российской Федерации от 16 февраля 2008 года №87 «О составе разделов проектной документации и требованиях к их содержанию»;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СанПиН 2.4.2.2821-10 "Санитарно-эпидемиологические   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требования к условиям и организации обучения в 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</w:rPr>
              <w:t>общеобразовательных учреждениях";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2.13130.2012 Системы противопожарной защиты. Обеспечение огнестойкости объектов защиты;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3.13130.2009 Системы противопожарной защиты. Система оповещения и управления эвакуацией людей при пожаре. Требования пожарной безопасности;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5.13130.2009 Системы противопожарной защиты. Установки пожарной сигнализации и пожаротушения автоматические. Нормы и правила проектирования;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6.13130.2013 Системы противопожарной защиты. Электрооборудование. Требования пожарной безопасности;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8.13130.2009 Системы противопожарной защиты. Источники наружного противопожарного водоснабжения. Требования пожарной безопасности;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10.13130.2009 Системы противопожарной защиты. Внутренний противопожарный водопровод. Требования пожарной безопасности;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17.13330.2017 Кровли. Актуализированная редакция СНиП II-26-76;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20.13330.2016 Нагрузки и воздействия. Актуализированная редакция СНиП 2.01.07-85*;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Свод правил СП 22.13330.2016 Основания зданий и сооружений. Актуализированная редакция СНиП 2.02.01-83*; 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28.13330.2017 Защита строительных конструкций от коррозии. Актуализированная редакция СНиП 2.03.11-85;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29.13330.2011 Полы. Актуализированная редакция СНиП 2.03.13-88;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30.13330.2012 Внутренний водопровод и канализация зданий. Актуализированная редакция СНиП 2.04.01-85*;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50.13330.2012 Тепловая защита зданий. Актуализированная редакция СНиП 23-02-2003;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51.13330.2011 Защита от шума. Актуализированная редакция СНиП 23-03-2003;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52.13330.2016 Естественное и искусственное освещение. Актуализированная редакция СНиП 23-05-95*;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Свод правил СП 60.13330.2016 Отопление, вентиляция и кондиционирование воздуха. Актуализированная редакция 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СНиП 41-01-2003;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61.13330.2012 Тепловая изоляция оборудования и трубопроводов. Актуализированная редакция СНиП 41-03-2003;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70.13330.2012 Несущие и ограждающие конструкции. Актуализированная редакция СНиП 3.03.01-87;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Свод правил СП 88.13330.2014 Защитные сооружения гражданской обороны. Актуализированная 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редакция СНиП II-11-77*;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124.13330.2012 Тепловые сети. Актуализированная редакция СНиП 41-02-2003;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ГОСТ 31565-2012 Кабельные изделия. Требования пожарной безопасности;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СП 251.1325800.2016 Здания общеобразовательных организаций. Правила проектирования;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255.1325800.2016 Здания и сооружения. Правила эксплуатации. Основные положения.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256.1325800.2016 Электроустановки жилых и общественных зданий. Правила проектирования и монтажа;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Правила устройства электроустановок (ПУЭ). Глава 1.7 Заземление и защитные меры электробезопасности;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Правил технической эксплуатации электроустановок потребителей (с изменениями на 13 сентября 2018 года);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ГОСТ Р 53246-2008 Информационные технологии (ИТ). Системы кабельные структурированные. Проектирование основных узлов системы. Общие требования;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ГОСТ 30494-2011 Здания жилые и общественные. Параметры микроклимата в помещениях;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131.13330.2012 Строительная климатология. Актуализированная редакция СНиП 23-01-99;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132.13330.2011 Обеспечение антитеррористической защищенности зданий и сооружений. Общие требования проектирования;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Свод правил СП 133.13330.2012 Сети проводного радиовещания и оповещения в зданиях и сооружениях. Нормы проектирования;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ГОСТ Р 21.1101-2013 Система проектной документации для строительства (СПДС). Основные требования к проектной и рабочей документации (с Поправкой).</w:t>
            </w:r>
          </w:p>
          <w:p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Распоряжение Министерства Образования Московской области от 20.12.2017г. №21 «О Единых требованиях к условиям организации деятельности государственных общеобразовательных организаций Московской области и муниципальных общеобразовательных организаций в Московской области».</w:t>
            </w:r>
          </w:p>
          <w:p>
            <w:pPr>
              <w:pStyle w:val="13"/>
              <w:ind w:left="360"/>
              <w:rPr>
                <w:rFonts w:ascii="Times New Roman" w:hAnsi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Предпроектные работы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В ходе предпроектных работ выполнить уточнение и обновление топографических планов участка и нулевого репера.</w:t>
            </w:r>
          </w:p>
          <w:p>
            <w:pPr>
              <w:pStyle w:val="13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Выполнить уточняющие обмеры (при необходимости) здания, помещений, инженерных систем, ограждающих конструкций объекта проектирования.</w:t>
            </w:r>
          </w:p>
          <w:p>
            <w:pPr>
              <w:pStyle w:val="13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Согласовать с Комитетом по архитектуре и градостроительству Московской области  целесообразность рассмотрения архитектурно-градостроительного облика объекта и при необходимости получить свидетельство о согласовании архитектурно-градостроительного облика объекта.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numPr>
                <w:ilvl w:val="0"/>
                <w:numId w:val="1"/>
              </w:numPr>
              <w:rPr>
                <w:rFonts w:ascii="Times New Roman" w:hAnsi="Times New Roman" w:eastAsiaTheme="minorHAnsi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Cs w:val="20"/>
                <w:lang w:eastAsia="en-US"/>
              </w:rPr>
              <w:t>Состав разделов проектной документации, необходимых к обязательному выполнению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>Состав Проектной документации должен быть выполнен в соответствии требованиями Постановления РФ от 16.02.2008 №87 «О составе разделов проектной документации и требованиях к их содержанию».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 xml:space="preserve">Раздел 1 «Пояснительная записка»;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 xml:space="preserve">Раздел 2 «Схема планировочной организации земельного участка»;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 xml:space="preserve">Раздел 3 «Архитектурные решения»;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 xml:space="preserve">Раздел 4 «Конструктивные и объемно-планировочные решения»;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>Раздел 5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>- Система электроснабжения;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>- Система водоснабжения;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>- Система водоотведения;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>- Отопление, вентиляция и кондиционирование воздуха, тепловые сети;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>- Сети связи (система связи и сигнализации для ММГН, системы внутренней связи, АПС, ОС (СОТС, СЭС, СКУД), СОО, наружного видеонаблюдения, часофикация, телефонизации, радиофикации, телевидения и интернет);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>- Технологические решения;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 xml:space="preserve">Раздел 6 «Проект организации строительства»;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 xml:space="preserve">Раздел 9 «Мероприятия по обеспечению пожарной безопасности»;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 xml:space="preserve">Раздел 10 «Мероприятия по обеспечению доступа инвалидов»; 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>Раздел 10.1 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ресурсов»;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>Раздел 11 «Смета на капитальный ремонт объектов капитального строительства»;</w:t>
            </w:r>
          </w:p>
          <w:p>
            <w:pPr>
              <w:spacing w:after="120"/>
              <w:jc w:val="both"/>
              <w:rPr>
                <w:rFonts w:ascii="Times New Roman" w:hAnsi="Times New Roman" w:cs="Times New Roman" w:eastAsiaTheme="minorHAnsi"/>
                <w:color w:val="FF0000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sz w:val="20"/>
                <w:szCs w:val="20"/>
                <w:lang w:eastAsia="en-US"/>
              </w:rPr>
              <w:t>Раздел 12 «Иная документация в случаях, предусмотренных федеральными законами» (раздел «Требования к обеспечению безопасной эксплуатации объекта капитального строите</w:t>
            </w:r>
            <w:r>
              <w:rPr>
                <w:rFonts w:ascii="Times New Roman" w:hAnsi="Times New Roman" w:cs="Times New Roman" w:eastAsiaTheme="minorHAnsi"/>
                <w:sz w:val="20"/>
                <w:szCs w:val="20"/>
                <w:lang w:val="ru-RU" w:eastAsia="en-US"/>
              </w:rPr>
              <w:t>льства»</w:t>
            </w: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13"/>
              <w:numPr>
                <w:ilvl w:val="0"/>
                <w:numId w:val="1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Требования к составу рабочей документации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Полный комплект Рабочей документации в соответствии с ГОСТ Р 21.1101-2013, в том числе:</w:t>
            </w:r>
          </w:p>
          <w:p>
            <w:pP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- Рабочие чертежи, объединенные в основные комплекты рабочих чертежей по маркам;</w:t>
            </w:r>
          </w:p>
          <w:p>
            <w:pP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- Прилагаемые документы, разработанные в дополнение к рабочим чертежам основного комплекта.</w:t>
            </w:r>
          </w:p>
          <w:p>
            <w:pP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В состав основных комплектов рабочих чертежей должны быть включены общие данные по рабочим чертежам, чертежи и схемы, предусмотренные соответствующими стандартами СПДС.</w:t>
            </w:r>
          </w:p>
          <w:p>
            <w:pP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Прилагаемые документы должны включать в себя: рабочую документацию на строительные изделия; эскизные чертежи общих видов нетиповых изделий; спецификация оборудования, изделий и материалов; локальные сметы.</w:t>
            </w:r>
          </w:p>
          <w:p>
            <w:pPr>
              <w:spacing w:after="120"/>
              <w:rPr>
                <w:rFonts w:ascii="Times New Roman" w:hAnsi="Times New Roman" w:cs="Times New Roman" w:eastAsiaTheme="minorHAnsi"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Cs/>
                <w:sz w:val="20"/>
                <w:szCs w:val="20"/>
                <w:lang w:eastAsia="en-US"/>
              </w:rPr>
              <w:t>Прилагаемые документы проектная организация передает заказчику одновременно с основным комплектом рабочих чертежей в количестве, установленном для рабочих чертежей.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Перечень работ,  выполняемых заказчиком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5"/>
              </w:numPr>
              <w:tabs>
                <w:tab w:val="left" w:pos="315"/>
              </w:tabs>
              <w:ind w:left="32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Предоставление всех имеющихся в наличии исходных данных, необходимых для проведения проектирования.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numPr>
                <w:ilvl w:val="0"/>
                <w:numId w:val="1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Требования к разработке сметной документации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Сметная документация должна быть разработана в соответствии с Территориальной сметно-нормативной базой для Московской области (ТСНБ-2001 МО) в редакции 2014 года (с указанием базисного и текущего уровня цен).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>Требования к составу выполняемых работ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after="120"/>
              <w:ind w:firstLine="210"/>
              <w:jc w:val="both"/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1. 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  <w:t>В проектной документации предусмотреть следующие работы по колористическим решениям отделки фасада и внутренних помещений:</w:t>
            </w:r>
          </w:p>
          <w:p>
            <w:pPr>
              <w:pStyle w:val="13"/>
              <w:numPr>
                <w:ilvl w:val="1"/>
                <w:numId w:val="6"/>
              </w:numPr>
              <w:ind w:left="0" w:firstLine="200"/>
              <w:jc w:val="both"/>
              <w:rPr>
                <w:rFonts w:ascii="Times New Roman" w:hAnsi="Times New Roman" w:eastAsiaTheme="minorHAnsi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Cs w:val="20"/>
                <w:lang w:eastAsia="en-US"/>
              </w:rPr>
              <w:t>При подготовке проектной документации разработать не менее 3-х вариантов эскизов с 3d визуализацией по применяемым материалам и цветовому решению фасадов зданий, сооружений и ограждений (план, фасад здания в осях со всех сторон и таблица колористического решения с указанием вида, и цвета используемых материалов по Московской палитре).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1.2.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По согласованному с Заказчиком варианту эскиза разработать проект капитального ремонта фасада здания, сооружений и ограждений, и паспорт колористического решения.</w:t>
            </w:r>
          </w:p>
          <w:p>
            <w:pPr>
              <w:ind w:firstLine="206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1.3.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Согласовать паспорт колористического решения с Главным архитектором Городского округа Подольск силами Подрядчика.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1.4.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Разработать дизайн интерьеров входных групп, вестибюлей,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рекреаций,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классов, пищеблока (столовой), санузлов, спортивного зала, актового зала, раздевалок, коридоров, тамбуров и специализированных кабинетов в соответствии с технологическим заданием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и Распоряжением Министерства Образования Московской области от 20.12.2017г. №21. Результат п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редставить в разделе «Архитектурные решения» после согласования с Заказчиком.</w:t>
            </w:r>
          </w:p>
          <w:p>
            <w:pPr>
              <w:spacing w:after="12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1.5.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Срок согласования эскизов, демонстрационных материалов, трёхмерных моделей и фотомонтажей силами Подрядчика не учитывается в сроках выполнения проектных работ (выполняется параллельно).</w:t>
            </w:r>
          </w:p>
          <w:p>
            <w:pPr>
              <w:spacing w:after="120"/>
              <w:ind w:firstLine="209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2. 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  <w:t>В проектной документации предусмотреть следующие работы по планировочной организации земельного участка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: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2.1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Внешнее благоустройство, выполнить согласно требованиям «Распоряжения Министерства Образования Московской области от 20.12.2017г. №21»;</w:t>
            </w:r>
          </w:p>
          <w:p>
            <w:pPr>
              <w:tabs>
                <w:tab w:val="left" w:pos="727"/>
              </w:tabs>
              <w:ind w:left="206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2.2.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Разработать схему планировочной организации земельного участка в соответствии:</w:t>
            </w:r>
          </w:p>
          <w:p>
            <w:pPr>
              <w:tabs>
                <w:tab w:val="left" w:pos="727"/>
              </w:tabs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СП 42.13330.2016, СП 118.13330.2012, СП 59.13330.2016, СанПиН 2.2.1/2.1.1.1076-01 и СанПиН 2.2.1/2.1.1.1278-03 по инсоляции и освещённости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tabs>
                <w:tab w:val="left" w:pos="727"/>
              </w:tabs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СанПиН 2.4.2.2821-10 "Санитарно-эпидемиологические требования к условиям и организации обучения в общеобразовательных учреждениях";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Требования Федерального закона от 22.07.2008 № 123-ФЗ «Технический регламент о требованиях пожарной безопасности», постановлением Правительства РФ от 25.04.2012 № 390 «О противопожарном режиме», СП 4.13130.2013 «Ограничение распространения пожара на объектах защиты»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206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2.3.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При подготовке проектной документации разработать проект и демонстрационные материалы в виде трёхмерных моделей, отражающих посредством визуализации или эскизирования воплощения проектных решений на благоустройство территории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206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2.4.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Отразить предполагаемый ассортимент древесно-кустарниковой растительности, перечень и внешний вид малых архитектурных форм, покрытий, необходимых физкультурно-спортивных и плоскостных сооружений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tabs>
                <w:tab w:val="left" w:pos="761"/>
              </w:tabs>
              <w:ind w:firstLine="206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2.5.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Выполнить вертикальную (высотную) съемку на планах горизонтальной съемки. Создать на застроенной территории планы подеревной съемки с координированием деревьев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left="206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2.6.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Предусмотреть разработку схемы планировочной организации   </w:t>
            </w:r>
          </w:p>
          <w:p>
            <w:pPr>
              <w:spacing w:after="12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земельного участка, плана земляных масс, сводного плана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инженерных сетей и ситуационный план М1: 500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tabs>
                <w:tab w:val="left" w:pos="670"/>
              </w:tabs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2.7.  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Ограждение территории забором.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Класс ограждения 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I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(первый) по ГОСТ Р 57278-2016г. Фундамент забора предусмотреть точечный с заливкой опор бетоном. Секции забора выполнить из сварных ограждающих конструкций.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Забор должен быть безопасным (не содержать травмоопасных элементов, исключать застревание), точно обозначать периметральные границы учреждения, обладать достаточно хорошей просматриваемостью на больших площадях, не препятствовать проникновению солнечных лучей и природной вентиляции, выдерживать сильные ветровые, другие физические и механические нагрузки, выглядеть эстетически привлекательным и иметь антикоррозионное покрытие.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Каждый край полотна основного ограждения должен повторять профиль поверхности местности и находиться над уровнем грунта не выше 100мм.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Въезды на территорию оснастить воротами, обеспечивающими жесткую фиксацию их створок в закрытом положении. Высота ограждения должна быть не менее двух метров.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Ворота и калитки предусмотреть с дистанционным открыванием; 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2.8.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Наружное электрическое освещение. Уровень искусственной освещенности территории должен быть не менее 10 ЛК на уровне земли в темное время суток. Уровень искусственной освещенности должен быть подтвержден светотехническим расчетом и геопозиционным планом расположения оборудования наружного освещения. Предусмотреть размещение осветительного оборудования на высоте не менее 2,5 метров. Наружное освещение должно быть настроено способом, исключающим возможность засветки окон жилых зданий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2.9.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Комплексную физкультурно-спортивную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зону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с оборудованием, рассчитанную на занятия с детьми разных возрастных групп, и предназначенную для проведения спортивных мероприятий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: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для учащихся 1 - 4 классов – площадки для физической и спортивно-развивающей подготовки не менее 15м х 15м;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баскетбольную площадку не менее 28м х 15м;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волейбольную площадку не менее 18м х 9м;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для учащихся 5 - 11 классов предусмотреть не менее 2 (двух) площадок для спортивных игр и для развития координации, ловкости;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футбольное поле со стадионом и беговой дорожкой;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яму для прыжков в длину с дорожкой разбега;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площадку для прыжков в высоту с ямой;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спортивно-развивающие площадки для учащихся основной школы 5 -11 классов;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площадку для подвижных игр детей или детскую игровую.</w:t>
            </w:r>
          </w:p>
          <w:p>
            <w:pPr>
              <w:tabs>
                <w:tab w:val="left" w:pos="353"/>
              </w:tabs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2.10.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Место, защищенное навесом от осадков для хранения велосипедов и лыж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2.11.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С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истему навигационного оформления территории и фасада исходя из требований «Распоряжения Министерства Образования Московской области от 20.12.2017г. №21»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2.12.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 Хозяйственную зону с площадкой для разгрузки продуктов пищеблока. Площадку для сбора мусора, огражденную с трех сторон сплошным ограждением высотой не менее 1,5 метров, защищенную навесом от осадков (закрытого типа), с твердым покрытием, аналогичным покрытию транспортных проездов с уклоном, составляющим 5÷10% в сторону подъездной дороги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left="65" w:firstLine="295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2.13.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hAnsi="Times New Roman" w:eastAsiaTheme="minorHAnsi"/>
                <w:color w:val="auto"/>
                <w:sz w:val="20"/>
                <w:szCs w:val="20"/>
                <w:lang w:val="ru-RU" w:eastAsia="en-US"/>
              </w:rPr>
              <w:t>П</w:t>
            </w:r>
            <w:r>
              <w:rPr>
                <w:rFonts w:ascii="Times New Roman" w:hAnsi="Times New Roman" w:eastAsiaTheme="minorHAnsi"/>
                <w:color w:val="auto"/>
                <w:sz w:val="20"/>
                <w:szCs w:val="20"/>
                <w:lang w:eastAsia="en-US"/>
              </w:rPr>
              <w:t xml:space="preserve">олосу зеленых насаждений вдоль забора из лиственных или хвойных пород.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Озеленение деревьями и кустарниками произвести с учетом климатических условий, исключить плодоносящие, ядовитые и колючие растения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2.14.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Конструкции дорожных покрытий въездов и входов на территорию внутренних проездов и дорожек. Ударопоглощающие покрытия в местах нахождения спортивного оборудования и МАФ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2.15. Обеспечить 2 (два) рассредоточенных въезда на территорию, круговые пожарные проезды с твердым покрытием, шириной не менее 3,5м, на расстоянии не менее 5м от здания.</w:t>
            </w:r>
          </w:p>
          <w:p>
            <w:pPr>
              <w:ind w:firstLine="357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2.16.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Места отдыха для МГН, на основных путях движения, оборудовать навесами, скамьями с опорой для спины и подлокотником, указателями и светильниками не менее чем через 100 – 150 метров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57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2.17.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Места отдыха МГН должны выполнять функции архитектурных акцентов, входящих в общую информационную систему объекта. Минимальный уровень освещенности в местах отдыха следует принимать 20 ЛК. Места отдыха оборудовать урнами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spacing w:after="120"/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2.18. В зоне входа в здание, при физкультурно-спортивной зоне, игровой площадки, учебно-опытной зоне, предусмотреть не менее одного информационного стенда с дублированием информации системой Брайля. Стенды выполнить в одном стиле и увязать с общим обликом здания;</w:t>
            </w:r>
          </w:p>
          <w:p>
            <w:pPr>
              <w:widowControl w:val="0"/>
              <w:suppressAutoHyphens/>
              <w:spacing w:before="240" w:after="240"/>
              <w:ind w:left="209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color w:val="auto"/>
                <w:kern w:val="2"/>
                <w:sz w:val="20"/>
                <w:szCs w:val="20"/>
                <w:lang w:val="ru-RU" w:eastAsia="en-US"/>
              </w:rPr>
              <w:t>3. Требования к архитектурным, конструктивным и объемно-планировочным решениям</w:t>
            </w: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>:</w:t>
            </w:r>
          </w:p>
          <w:p>
            <w:pPr>
              <w:widowControl w:val="0"/>
              <w:suppressAutoHyphens/>
              <w:spacing w:before="240" w:after="240"/>
              <w:ind w:left="352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</w:p>
          <w:p>
            <w:pPr>
              <w:ind w:firstLine="49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3.1.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Подготовить предложения по конструктивным решениям, строительным материалам.</w:t>
            </w:r>
          </w:p>
          <w:p>
            <w:pPr>
              <w:ind w:left="49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3.2.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Представить: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ведомости демонтажных и монтажных работ по отделке фасадов и ограждений;</w:t>
            </w:r>
          </w:p>
          <w:p>
            <w:pPr>
              <w:widowControl w:val="0"/>
              <w:suppressAutoHyphens/>
              <w:ind w:firstLine="360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>- ведомости демонтажных и монтажных работ внутренней отделки помещений;</w:t>
            </w:r>
          </w:p>
          <w:p>
            <w:pPr>
              <w:widowControl w:val="0"/>
              <w:suppressAutoHyphens/>
              <w:ind w:left="360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>- поэтажную планировку помещений с экспликациями помещений;</w:t>
            </w:r>
          </w:p>
          <w:p>
            <w:pPr>
              <w:widowControl w:val="0"/>
              <w:suppressAutoHyphens/>
              <w:ind w:left="360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>- планы фасадов со всех сторон зданий и их характерные разрезы;</w:t>
            </w:r>
          </w:p>
          <w:p>
            <w:pPr>
              <w:widowControl w:val="0"/>
              <w:suppressAutoHyphens/>
              <w:ind w:firstLine="360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>- спецификацию элементов заполнения оконных и дверных проемов;</w:t>
            </w:r>
          </w:p>
          <w:p>
            <w:pPr>
              <w:widowControl w:val="0"/>
              <w:suppressAutoHyphens/>
              <w:ind w:firstLine="360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>- поэтажную планировку помещений с указанием размеров и экспликации помещений;</w:t>
            </w:r>
          </w:p>
          <w:p>
            <w:pPr>
              <w:widowControl w:val="0"/>
              <w:suppressAutoHyphens/>
              <w:ind w:firstLine="360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>- рабочие чертежи архитектурных решений интерьеров, включая ведомости потребности в материалах, образцы колеров (ведомости цветового решения отделки интерьеров), виды и развертки внутренних поверхностей стен, планы полов и потолков, фрагменты планов, видов и разверток, шаблоны, схемы технологических и санитарно-технических коммуникаций с опознавательной и сигнально-предупреждающей (навигационной) окраской;</w:t>
            </w:r>
          </w:p>
          <w:p>
            <w:pPr>
              <w:widowControl w:val="0"/>
              <w:suppressAutoHyphens/>
              <w:ind w:left="360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>- схемы расположения ограждающих конструкций.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       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3.3.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  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Предусмотреть: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восстановление разрушенной облицовки цоколя с устройством отливов;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ремонт кирпичной кладки на участках разрушений;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выполнить ремонт всех выявленных трещин в несущих стенах шириной раскрытия более 2,0 мм;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произвести внешнее утепление наружных несущих стен до требуемого сопротивления теплопередаче с последующей отделкой фасадов современными негорючими материалами;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устройство тамбура в осях «Б-В/5-6»;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устройство противоветровых связей стропильной системы;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устройство (разблокировку существующих) аэрационных продухов чердачного помещения;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замену сгнивших и поврежденных элементов конструкций стропильной системы крыши и деревянной обрешетки кровли с обработкой огне и биозащитными составами;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переустройство металлического кровельного покрытия;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переустройство ограждающих конструкций и водосточной системы;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ремонт и облицовку ступеней лестничных маршей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внутри здания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восстановление защитного слоя бетоны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х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козырьков входных групп на участках разрушения;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восстановление защитного слоя бетона лестничного марша на участке разрушения;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ремонт отделочных покрытий лестниц входных групп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переустройство деревянных (дощатых) полов;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- замену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оснований и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покрытий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полов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внутренних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помещениях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здания, исходя из с качественных характеристик по истираемости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color w:val="auto"/>
                <w:sz w:val="20"/>
                <w:szCs w:val="20"/>
                <w:lang w:eastAsia="en-US"/>
              </w:rPr>
              <w:t>- устройство новых отделочных покрытий стен и потолков внутренних помещений здания,</w:t>
            </w:r>
            <w:r>
              <w:rPr>
                <w:rFonts w:ascii="Times New Roman" w:hAnsi="Times New Roman" w:eastAsiaTheme="minorHAnsi"/>
                <w:color w:val="auto"/>
                <w:sz w:val="20"/>
                <w:szCs w:val="20"/>
                <w:lang w:val="ru-RU" w:eastAsia="en-US"/>
              </w:rPr>
              <w:t xml:space="preserve"> включая лестничные марши с использованием современных отделочных материалов, учитывающих функциональное назначение помещений;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color w:val="auto"/>
                <w:sz w:val="20"/>
                <w:szCs w:val="20"/>
                <w:lang w:val="ru-RU" w:eastAsia="en-US"/>
              </w:rPr>
              <w:t>- потолки подвесные типа «Армстронг» размером 1200х600х12мм, цвет - белый матовый;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color w:val="auto"/>
                <w:sz w:val="20"/>
                <w:szCs w:val="20"/>
                <w:lang w:val="ru-RU" w:eastAsia="en-US"/>
              </w:rPr>
              <w:t>- в помещениях с повышенной влажностью подвесные потолки – влагостойкие с антимикробным покрытием;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произвести замену дверных блоков с обустройством откосов;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устройство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наружных дверных блоком основного входа из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теплого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алюминиевого профиля с энергоэффективными стеклопакетами (наружное стекло – безопасное, триплекс, внутреннее стекло – закаленное);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металлические утепленные наружные дверные блоки входов в сопутствующие, вспомогательные и технические помещения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предусмотреть с ударопрочным остеклением на менее 300мм х 400мм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устройство остекленных противопожарных дверей с учетом степени огнестойкости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, оборудованных устройством экстренного открывания «Антипаника»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и доводчиками;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двери в учебных помещениях предусмотреть с ударопрочным остеклением толщиной не менее 8мм (триплекс), с покрытием из ПВХ, внизу полотна двери предусмотреть пластины из нержавеющей стали;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замену всех окон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ных блоков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на новые с использованием двухкамерных стеклопакетов, соответствующих требуемому сопротивлению теплопередаче. 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замену подоконных отливов;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замену поврежденных подоконных досок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замену перильных ограждений;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перила лестниц предусмотреть из нержавеющей стали, по возможности двойные с двух сторон, минимальная высота первого уровня перил – 900мм, высота второго уровня (детского) 500-700мм, предельное расстояние между опорами ограждений 150 мм, по бесшовной технологии; </w:t>
            </w:r>
          </w:p>
          <w:p>
            <w:pPr>
              <w:widowControl w:val="0"/>
              <w:suppressAutoHyphens/>
              <w:ind w:firstLine="348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 xml:space="preserve">- на лестничных клетках в местах выхода на чердак ив местах где высота низа окна менее 1,8м предусмотреть ограждение из нержавеющей стали для предотвращения доступа детей; </w:t>
            </w:r>
          </w:p>
          <w:p>
            <w:pPr>
              <w:widowControl w:val="0"/>
              <w:suppressAutoHyphens/>
              <w:spacing w:before="240" w:after="120"/>
              <w:ind w:firstLine="348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>- установку специальных грязеочищающих решеток и металло-резиновых ковриков на входах в здание п.5.1.7 СП 59.13330.2016;</w:t>
            </w:r>
          </w:p>
          <w:p>
            <w:pPr>
              <w:widowControl w:val="0"/>
              <w:suppressAutoHyphens/>
              <w:spacing w:before="240" w:after="120"/>
              <w:ind w:firstLine="348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>3.4. В учебных кабинетах предусмотреть игровую зону (зону свободного творчества) с размещением на стене магнитно-грифельной поверхности в рамке;</w:t>
            </w:r>
          </w:p>
          <w:p>
            <w:pPr>
              <w:widowControl w:val="0"/>
              <w:tabs>
                <w:tab w:val="left" w:pos="251"/>
                <w:tab w:val="left" w:pos="489"/>
              </w:tabs>
              <w:suppressAutoHyphens/>
              <w:spacing w:before="240" w:after="240"/>
              <w:contextualSpacing/>
              <w:jc w:val="both"/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kern w:val="2"/>
                <w:sz w:val="20"/>
                <w:szCs w:val="20"/>
                <w:lang w:val="ru-RU" w:eastAsia="en-US"/>
              </w:rPr>
              <w:t xml:space="preserve">       3.4. Предусмотреть возможность доступа для инвалидов и маломобильных групп населения на территорию и в здание лицея;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3.5. Предусмотреть мероприятия, обеспечивающие беспрепятственное передвижение инвалидов и маломобильных групп населения (СП 59.13330.2016 «Доступность зданий и сооружений для маломобильных групп населения»):</w:t>
            </w:r>
          </w:p>
          <w:p>
            <w:pPr>
              <w:tabs>
                <w:tab w:val="left" w:pos="65"/>
              </w:tabs>
              <w:ind w:hanging="21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>-      - ребра дренажных решеток входных групп на путях движения МГН расположить перпендикулярно направлению движения и находиться на одном уровне с поверхностью. Ширина просветов их ячеек не должна превышать 0,013м, а длина – 0,015м;</w:t>
            </w:r>
          </w:p>
          <w:p>
            <w:pPr>
              <w:ind w:hanging="21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 xml:space="preserve">         - предпочтительно применить решетки с ромбовидными или квадратными ячейками. Диаметр круглых ячеек не должен превышать 0,018м;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 xml:space="preserve">      -  оборудовать один вход, доступный для МГН с поверхности земли, с наружными вызывными устройствами. Входная площадка должна иметь навес и водоотвод. Полотно наружной двери должно предусматривать смотровые панели, заполненные прозрачным и ударопрочным материалом. Входные двери должны быть не менее чем на 2/3 визуально проницаемые;</w:t>
            </w:r>
          </w:p>
          <w:p>
            <w:pPr>
              <w:ind w:firstLine="35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 xml:space="preserve">- тактильно-контрастные указатели на плоскостях дверных полотен, участках пола, внешних краях проступей ступеней открытых лестничных маршей; </w:t>
            </w:r>
          </w:p>
          <w:p>
            <w:pPr>
              <w:ind w:firstLine="35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val="ru-RU"/>
              </w:rPr>
              <w:t xml:space="preserve">подъемные платформы в целях доступа МГН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 xml:space="preserve">на этажи выше основного входа в здание; </w:t>
            </w:r>
          </w:p>
          <w:p>
            <w:pPr>
              <w:tabs>
                <w:tab w:val="left" w:pos="341"/>
              </w:tabs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ru-RU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 xml:space="preserve">3.6. В вестибюле предусмотреть установку информационного терминала/киосков, информационного табло типа «Бегущая строка»; 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ru-RU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 xml:space="preserve">3.7. Перед входом в здание предусмотреть: фасадную вывеску (шрифт, размер, цвет вывески должен соответствовать облику здания), информирующие тактильные таблицы для людей с нарушением зрения, с использованием рельефных знаков и символов, а также рельефно-точечного шрифта «Брайля» с указанием наименования учреждения и времени оказания услуг (приемных часов), перед входами во внутренние помещения, с указанием номера и назначения помещения; </w:t>
            </w:r>
          </w:p>
          <w:p>
            <w:pPr>
              <w:spacing w:after="120"/>
              <w:ind w:firstLine="35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 xml:space="preserve">3.8. Выполнить отдельные требования других сводов и правил, уточняющих и конкретизирующих общие требования свода СП 59.13330.2016 и/или определяющих дополнительные требования. </w:t>
            </w:r>
          </w:p>
          <w:p>
            <w:pPr>
              <w:spacing w:after="120"/>
              <w:ind w:firstLine="209"/>
              <w:jc w:val="both"/>
              <w:rPr>
                <w:rFonts w:ascii="Times New Roman" w:hAnsi="Times New Roman" w:eastAsiaTheme="minorHAnsi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color w:val="auto"/>
                <w:sz w:val="20"/>
                <w:szCs w:val="20"/>
                <w:lang w:val="ru-RU" w:eastAsia="en-US"/>
              </w:rPr>
              <w:t xml:space="preserve">4. </w:t>
            </w:r>
            <w:r>
              <w:rPr>
                <w:rFonts w:ascii="Times New Roman" w:hAnsi="Times New Roman" w:eastAsiaTheme="minorHAnsi"/>
                <w:b/>
                <w:color w:val="auto"/>
                <w:sz w:val="20"/>
                <w:szCs w:val="20"/>
                <w:lang w:eastAsia="en-US"/>
              </w:rPr>
              <w:t>Требования к системе электроснабжения: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4.1. С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огласовать раздел проектной документации с Заказчиком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.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Если линия электроснабжения пересекается с другими инженерными сетями, то необходимо утвердить проект с соответствующими ресурсоснабжающими организациями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4.3.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После согласования Перечня оборудования разработать и согласовать с заказчиком эскизный проект мест размещения и способов установки электропотребителей, силовых и групповых щитов, выключателей, розеток, светильников, способах прокладки проводки к ним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4.4.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Разработать ситуационный план расположения шкафов, щитков, мест хранения противопожарного инвентаря, при наличии обогревательных приборов и трубопроводов подводки к ним в электрощитовой, с указаниями размеров оборудования и расстояний до стен и потолка, а также величиной проходов при открытых дверцах шкафов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4.5.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Проект должен включать ситуационные планы расположения оборудования в помещениях: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пищеблока;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мастерских;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компьютерном классе;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лингафонных классах;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 актовый зал;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кабинетах физики, химии, биологии и лаборантских;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-на местах операторов управляющего и контрольного оборудования слаботочных систем (пост охраны и т.п.)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4.6.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ВРУ оснастить вольтметрами на каждой фазе питающих кабелей, предусмотреть защиту от повышенных и импульсных напряжений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4.7.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Заменить старую электропроводку, распределительные щитки и автоматы, а также светильники с лампами накаливания на энергосберегающие (светодиодные).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По возможности предусмотреть 100% визуальное скрытие электропроводки;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4.8.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 электрощитовой разместить металлический шкаф соответствующего размера для хранения средств индивидуальной защиты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4.9.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Силовые шкафы и групповые щитки должны быть оборудованы автоматическими установками пожаротушения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4.10.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Главную заземляющую шину выполнить раздельно с защитной шиной РЕ ВРУ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4.11.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На наружной стене здания предусмотреть силовой щит для подключения передвижной флюорографической установки – 380В, 63А. В щите установить розетку 380В 32А, автоматический выключатель трехполюсной 50А и однополюсной 32А. Место установки щита должно обеспечивать удобный подъезд и парковку флюоромобиля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4.12.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Для подключения оборудования на столах в специализированных кабинетах предусмотреть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потолочную систему электроснабжения;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4.13.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Проект образовательного учреждения должен быть выполнен в соответствии с СП 256.1325800.2016 «Электроустановки жилых и общественных зданий»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color w:val="auto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4.14.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Предусмотреть эвакуационные знаки безопасности в виде световых перил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  <w:t xml:space="preserve">4.15.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Входы в здание, номерной знак дома должны освещаться светильниками, присоединенными к сети аварийного эвакуационного освещения.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При этом включение питания на светильники номерного знака и указатель пожарных гидрантов должно подаваться с сигнала от фотодатчика на включение наружного освещения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  <w:t xml:space="preserve">4.16.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Технологическое освещение и электроприводы механизмов сцен следует проектировать с учетом требований главы 7.2 «Правил устройства электроустановок»</w:t>
            </w:r>
            <w:r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  <w:t>;</w:t>
            </w:r>
          </w:p>
          <w:p>
            <w:pPr>
              <w:ind w:firstLine="360"/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  <w:t xml:space="preserve">4.17.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Для повышения энергоэффективности осветительных установок в проектах следует предусматривать разрядные и светодиодные источники света, с сертификатами, подтверждающими их надлежащее качество и безопасность применения</w:t>
            </w:r>
            <w:r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4.18.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Предусмотреть в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спортивном и актовом залах отключение светильников рядами, параллельными световым проемам</w:t>
            </w:r>
            <w:r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  <w:t>4.19. В учебных помещениях предусмотреть включение линий светильников раздельно рядами;</w:t>
            </w:r>
          </w:p>
          <w:p>
            <w:pPr>
              <w:ind w:firstLine="360"/>
              <w:rPr>
                <w:rFonts w:ascii="&amp;quot" w:hAnsi="&amp;quot"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  <w:t xml:space="preserve">4.20.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Предусмотреть технические средства для обслуживания светильников, установленных на высоте более 5 м от пола (напольные передвижные подъемные устройства и передвижные мостики, галереи и т.п.)</w:t>
            </w:r>
            <w:r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  <w:t>;</w:t>
            </w:r>
          </w:p>
          <w:p>
            <w:pPr>
              <w:ind w:firstLine="360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  <w:t xml:space="preserve">4.21.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При этом прочность стационарных или передвижных ограждённых мостиков должна быть рассчитана с учётом нахождения у любого из светильников двух человек с инструментом общей массой 200 к</w:t>
            </w:r>
            <w:r>
              <w:rPr>
                <w:rFonts w:ascii="Times New Roman" w:hAnsi="Times New Roman"/>
                <w:spacing w:val="2"/>
                <w:sz w:val="20"/>
                <w:szCs w:val="20"/>
                <w:lang w:val="ru-RU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4.22.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Для подключения компьютеров и мониторов, имеющих в своем составе отдельные шнуры питания, подключающиеся к оборудованию вилками LAN C13, подключение компьютеров и блоков питания выполнить стационарной электропроводкой с вилками LAN C13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4.23. Управление освещением коридоров и рекреаций выполнить автоматическим, предусматривающим частичное отключение освещения со звонком на занятие и включение со звонком на перерыв или окончание занятий.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4.24.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Управление наружным освещением выполнить в автоматическом режиме по уровню освещенности (от сигнала с фотодатчика) с аварийным ручным режимом. Фотореле установить в ВРУ, включение наружного освещения осуществить через магнитный пускатель, предусмотреть переключение управления в ручной режим. Управление режимами (ручной/автоматический) и управление в ручном режиме должно осуществляться с поста охраны, предусмотреть световую индикацию режимов работы. Светильники подключить на разные фазы питающей сети. В проектной документации изложить требования по месту установки фотодатчика, способу его крепления к поверхности и защите от повреждений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4.25.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Выбор светильников должен быть подтвержден приведенным расчетом освещенности по объекту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; 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4.26. Светильники предусмотреть с освещением белым, тепло-белым или естественным излучением, равномерным без затемненных пространств;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4.27. Основное освещение предусмотреть из встраиваемых светильников со светодиодными панелями и матовыми рассеивателями;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4.28.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Выполнить светотехнический расчет осветительных установок с распределением освещенности (яркости) на территории объекта благоустройства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4.29.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Для создания системы дополнительного уравнивания потенциалов на пищеблоке и в помещениях мастерских проложить по стенам помещений металлическую полосу, к которой необходимо приварить болты. Для заземления оборудования имеющего проход между ним и контуром заземления проложить контур заземления под стяжкой пола. Места присоединения провода заземления к полосе, проложенной под стяжкой должны быть доступны для осмотра и протяжки и находиться выше уровня пола. Проводники систем уравнивания потенциалов должны иметь окраску желто-зеленого цвета. К данным контурам должны присоединяться корпуса электрооборудования пищеблока и мастерской, имеющие конструктивные элементы для наружного подключения заземления, металлические мойки, стеллажи, столы, металлические станины станков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ind w:left="65" w:firstLine="295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4.30.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Холодильное оборудование пищеблока запитать от отдельного силового щитка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ind w:left="65" w:firstLine="295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4.31.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На каждый холодильник, проложить отдельную линию со своим аппаратом защиты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4.32.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Групповые щитки на этажах спроектировать встроенные, металлические, верхний край щитков должен находиться на высоте 1,8 м от уровня пола. В щитках предусмотреть резервные автоматические выключатели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4.33.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Электропроводка в помещениях должна быть раздельной на освещение и розеточную группу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4.34.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На каждое помещение, бухгалтерию должны быть отдельные линии питания и автоматические выключатели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4.35.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Допускается объединение линий освещения вспомогательных помещений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4.36.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Проектной документацией предусмотреть розетки 220В в подвале и на чердаке, в коридорах и холлах. Питание данных розеток должно отключаться отдельным автоматическим выключателем в ближайшем групповом щитке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4.37.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Проектом учесть требования Приказа Министерства энергетики РФ от 23.06.2015г. №380 в части соблюдения максимальных значений коэффициента реактивной мощности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4.38.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 составе проекта предусмотреть раздел «Качество электрической энергии», в котором выполнить технические решения, в том числе расчет суммарной установленной мощности искажающих электроприемников, с целью обеспечения в процессе эксплуатации показателей качества электрической энергии согласно ГОСТ 32144-2013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4.39.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Для учета электроэнергии предусмотреть электросчетчики класса точности 1.0 и/или выше позволяющий измерять почасовые объемы, обеспечивать хранение данных более 90 дней, измерять мгновенные значения параметров сети (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I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U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cos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φ) по каждой фазе, имеющих два независимых равноприоритетных интерфейса связи (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RS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-485/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CAN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PLC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) и один оптический интерфейс.</w:t>
            </w:r>
          </w:p>
          <w:p>
            <w:pPr>
              <w:tabs>
                <w:tab w:val="left" w:pos="750"/>
              </w:tabs>
              <w:spacing w:after="12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     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4.40.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 В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  <w:t xml:space="preserve"> проектах слаботочных систем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разработать раздел "Электроснабжение", разработать однолинейную схему и план прокладки сетей и расположения оборудования.</w:t>
            </w:r>
          </w:p>
          <w:p>
            <w:pPr>
              <w:spacing w:after="120"/>
              <w:ind w:firstLine="209"/>
              <w:jc w:val="both"/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5. 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  <w:t>Требования к подразделам «Водоснабжение» и «Водоотведение»: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5.1.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Выполнить подразделы в соответствии с СП 30.13330.2016 «Внутренний водопровод и канализация зданий. Актуализированная редакция СНиП 2.04.01-85*», СП 59.13330.2016 «Доступность зданий и сооружений для маломобильных групп населения. Актуализированная редакция СНиП 35-01-2001»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5.2.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На вводе в здание предусмотреть водомерный узел с обводной линией в соответствии с техническими условиями ресурсоснабжающей организации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5.3.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Магистральные участки холодного и горячего водоснабжения выполнить из стальных водогазопроводных оцинкованных труб по ГОСТ 3262-75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/>
                <w:bCs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5.4.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Стояки холодного и горячего водоснабжения выполнить из 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труб напорных из термопластов и соединительных деталей к ним для систем водоснабжения и отопления по ГОСТ 32415-2013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ru-RU"/>
              </w:rPr>
              <w:t>;</w:t>
            </w:r>
          </w:p>
          <w:p>
            <w:pPr>
              <w:ind w:left="360"/>
              <w:jc w:val="both"/>
              <w:rPr>
                <w:rFonts w:ascii="Times New Roman" w:hAnsi="Times New Roman"/>
                <w:bCs/>
                <w:spacing w:val="2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ru-RU"/>
              </w:rPr>
              <w:t xml:space="preserve">5.5. 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Предусмотреть резервную систему горячего водоснабжения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ru-RU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5.6.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При необходимости повышения напора воды предложить проектное решение по установке насосной станции с частотным регулированием скорости вращения электродвигателей насосов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5.7.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Систему водоотведения выполнить из полипропиленовых труб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5.8.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На стояках системы водоотведения предусмотреть установку противопожарных муфт со вспучивающим огнезащитным составом, препятствующие распространение пламени по этажам (п. 4.23 СП 40-107-2003 «Проектирование, монтаж и эксплуатация систем внутренней канализации из полипропиленовых труб»)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5.9.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Вентиляционные части стояков, при невозможности выхода на кровлю оборудовать вентиляционными клапанами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5.10. Выполнить замену морально и физически устаревших сантехнических приборов;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5.10.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На пищеблоке в месте присоединения каждой производственной ванны к канализации должен быть воздушный разрыв не менее 20 мм от верха приемной воронки, которую устанавливают выше сифонных устройств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5.11.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Согласно п.8.28 СП 118.13330.2012 «Общественный здания и сооружения» Актуализированная редакция СНиП 31-06-2009 в проекте предусмотреть установку жироуловителей на систему водоотведения из помещений пищеблока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spacing w:after="120"/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5.12.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Проектной документацией предусмотреть замену канализационных выпусков до первых смотровых колодцев.</w:t>
            </w:r>
          </w:p>
          <w:p>
            <w:pPr>
              <w:spacing w:after="120"/>
              <w:ind w:left="209"/>
              <w:jc w:val="both"/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6. 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  <w:t>Требования к подразделу «Отопление, вентиляция и кондиционирование воздуха»: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6.1.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Предусмотреть установку (при условии технической возможности) оборудования, обеспечивающего в системе внутреннего теплоснабжения здания поддержание гидравлического режима, автоматическое регулирование потребления тепловой энергии в системах отопления и вентиляции, в зависимости от изменения температуры наружного воздуха. (п. 8.1 Постановления Правительства РФ от 25 января 2011г. №18 «Об утверждении Правил установления требований энергетической эффективности для зданий, строений, сооружений и требований к правилам определения класса энергетической эффективности многоквартирных домов»)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Выполнить подраздел в соответствии с СП 60.13330.2016 «Отопление, вентиляция и кондиционирование воздуха. Актуализированная редакция СНиП 41-01-2003», СП 61.13330.2012 «Тепловая изоляция оборудования и трубопроводов. Актуализированная редакция СНиП 41-03-2003»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6.3.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Трубопроводы для системы отопления запроектировать из стальных водогазопроводных труб по ГОСТ 3262-75 при диаметре условного прохода менее 50 мм и из труб стальных электросварных по ГОСТ 10704-91 при диаметре условного прохода более 50 мм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6.4.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 качестве отопительных приборов использовать чугунные секционные радиаторы с защитным эмалевым покрытием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6.5.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Предусмотреть на отопительных приборах защитные экраны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6.6.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 рекреациях и коридорах предусмотреть защитные решетки, выполненные в виде скамеек и служащие декоративными элементами интерьера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6.7.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Выполнить устройство перемычек и регулировочной арматуры на каждый радиатор отопления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6.8.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Вентиляцию здания принять приточно-вытяжную с естественным и механическим побуждением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48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6.9.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Воздухообмен определить в соответствии СП 60.13330.2016, СП 31-110-2003 и СанПиН 2.4.1.3049-13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6.10.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Количество систем приточно-вытяжной вентиляции предусмотреть в соответствии с разделением здания на пожарные отсеки, по характеру обслуживаемых помещений, конструктивным возможностям и требованиям СНиП: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технические помещения;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помещения пищеблока;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санузлы;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спортивный и актовый зал;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классы и кабинеты;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медицинский и процедурный кабинеты;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библиотека;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-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кабинеты руководителей и педагогического персонала.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6.11.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Вентиляционные установки должны быть установлены в отдельных помещениях – венткамерах, на виброизоляторах, полы венткамер необходимо гидроизолировать, а стены и потолки венткамер – шумоизолировать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6.12.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 помещении пищеблока технологическое оборудование и моечные ванны, являющиеся источниками повышенных выделений влаги, тепла, газов, оборудовать локальными вытяжными системами вентиляции в зоне максимального загрязнения в дополнение к общим приточно-вытяжным системам вентиляции (п. 13.4СанПиН 2.4.1.3049-13)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6.13.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Выбросы в атмосферу из систем вентиляции помещений разместить на расстоянии от приемных устройств для наружного воздуха согласно ГОСТ-Р-ЕН-13779-2007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 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6.14.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При проектировании предусмотреть следующие мероприятия по снижению шума: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установка глушителей шума на воздуховодах перед и после вентиляторов;</w:t>
            </w:r>
          </w:p>
          <w:p>
            <w:pPr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- установка гибких вставок между вентиляторами и воздуховодами.</w:t>
            </w:r>
          </w:p>
          <w:p>
            <w:pPr>
              <w:ind w:firstLine="36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6.15. Установить решетки (сетки) на выходе вентканалов в чердачном помещении для исключения попадания птиц;</w:t>
            </w:r>
          </w:p>
          <w:p>
            <w:pPr>
              <w:tabs>
                <w:tab w:val="left" w:pos="348"/>
              </w:tabs>
              <w:spacing w:after="120"/>
              <w:ind w:left="36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6.16.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Выполнить очистку вентканалов в кирпичных стенах.</w:t>
            </w:r>
          </w:p>
          <w:p>
            <w:pPr>
              <w:spacing w:after="120"/>
              <w:ind w:firstLine="209"/>
              <w:jc w:val="both"/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7. 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  <w:t>В проектной документации предусмотреть следующие решения по противопожарной защите:</w:t>
            </w:r>
          </w:p>
          <w:p>
            <w:pPr>
              <w:tabs>
                <w:tab w:val="left" w:pos="716"/>
              </w:tabs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7.1.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Автоматическая пожарная сигнализация (АПС);</w:t>
            </w:r>
          </w:p>
          <w:p>
            <w:pPr>
              <w:ind w:left="65" w:firstLine="283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7.2.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Система оповещения и управления эвакуацией при пожаре (СОУЭП);</w:t>
            </w:r>
          </w:p>
          <w:p>
            <w:pPr>
              <w:ind w:left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7.3.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Автоматизация систем противопожарной защиты;</w:t>
            </w:r>
          </w:p>
          <w:p>
            <w:pPr>
              <w:spacing w:after="120"/>
              <w:ind w:firstLine="346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7.4.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Предусмотреть подключение пожарной сигнализации и ПАК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«Стрелец-Мониторинг» (оборудование), установленному в ПСЧ-7 24 ПСО ФПС ГПС ГУ МЧС России по Московской области.</w:t>
            </w:r>
          </w:p>
          <w:p>
            <w:pPr>
              <w:spacing w:after="120"/>
              <w:ind w:firstLine="209"/>
              <w:jc w:val="both"/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8. 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  <w:t xml:space="preserve">В проектной документации предусмотреть решения по устройству следующих слаботочных систем: </w:t>
            </w:r>
          </w:p>
          <w:p>
            <w:pPr>
              <w:ind w:left="348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8.1.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Структурированная кабельная сеть (СКС);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8.2.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Система ТЛФ (телефонизация, IP телефония);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8.3.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Локальная вычислительная сеть, система ПД (передача данных, интернет);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8.4. 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Система РТ (радиотрансляция);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8.5.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Система коллективного телеприема (IP TV);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8.6.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Звонковая сигнализация;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8.7.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Система СОО (охранное освещение);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8.8.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Система ОС (охранная сигнализация, СОТС, СЭС, СКУД);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8.9.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Система связи и сигнализации для ММГН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8.10.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Часофикация;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8.11. В составе системы передачи данных (интернет) по возможности предусмотреть разводку проводной сети по всем кабинетам здания.</w:t>
            </w:r>
          </w:p>
          <w:p>
            <w:pPr>
              <w:tabs>
                <w:tab w:val="left" w:pos="421"/>
              </w:tabs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8.12.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В составе системы электрочасофикации предусмотреть радиоприемное устройство и активные устройства ГЛОНАСС/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GPS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.Спутниковый приемник должен быть связан с первичными часами (мастер часы), вторичные часы предусмотреть в столовой, библиотеке, коридорах, классах, кабинете директора, учительской, на посту охраны, музыкальном(актовом) зале, кабинете психолога, музее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ind w:firstLine="49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8.13.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Разработать единую систему унифицированной идентификации и учета контингента образовательной организации с возможностью интеграции с системой контроля и управления доступом и с терминалом оплаты питания, как элементом этой системы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4</w:t>
            </w:r>
          </w:p>
          <w:p>
            <w:pPr>
              <w:spacing w:after="12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        8.14.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Систему тревожной сигнализации проектировать согласно техническим условиям на оснащение системой тревожной сигнализации объекта. На базе технических средств охраны, включенных в список технических средств, удовлетворяющих «Единым техническим требованиям к объектовым подсистемам охраны, предназначенным для применения в подразделениях вневедомственной охраны» на текущий год типа приемно-контрольного прибора ППКОП «Юпитер» 4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IP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GPRS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tabs>
                <w:tab w:val="left" w:pos="727"/>
              </w:tabs>
              <w:spacing w:after="120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        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8.15.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Разработать подраздел «Система видеонаблюдения» с расстановкой камер видеонаблюдения внутри здания, а также с наружи по фасаду здания, для дальнейшего согласования силами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подрядчика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согласно пп. 8, 9 «Плана мероприятий по созданию, развитию и эксплуатации системы технологического обеспечения региональной общественной безопасности и оперативного управления «Безопасный регион», утвержденного постановлением Правительства Московской области от 27.03.2018 № 195/12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;</w:t>
            </w:r>
          </w:p>
          <w:p>
            <w:pPr>
              <w:tabs>
                <w:tab w:val="left" w:pos="727"/>
              </w:tabs>
              <w:spacing w:after="120"/>
              <w:ind w:firstLine="493"/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8.16. Систему проводного радиовещания разработать в соответствии с п. 4.69 СП 133.13330.2012 и п.5.24.2 СП 134.13330.2012 объединить с СОУЭ, а также с радиотрансляцией, при этом обеспечить приоритет сообщений СОУЭ.</w:t>
            </w:r>
          </w:p>
          <w:p>
            <w:pPr>
              <w:spacing w:after="120"/>
              <w:ind w:left="68" w:firstLine="141"/>
              <w:jc w:val="both"/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  9. 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  <w:t>Согласовать проектную и рабочую документациюпо системе видеонаблюдения («Безопасный регион») с Министерством государственного управления, информационных технологий и связи Московской Области.</w:t>
            </w:r>
          </w:p>
          <w:p>
            <w:pPr>
              <w:tabs>
                <w:tab w:val="left" w:pos="497"/>
              </w:tabs>
              <w:spacing w:after="120"/>
              <w:ind w:left="68" w:firstLine="141"/>
              <w:jc w:val="both"/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 10. 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  <w:t>Разработать подраздел «Технологические решения» в соответствии с технологическим заданием.</w:t>
            </w:r>
          </w:p>
          <w:p>
            <w:pPr>
              <w:pStyle w:val="13"/>
              <w:tabs>
                <w:tab w:val="left" w:pos="319"/>
                <w:tab w:val="left" w:pos="507"/>
              </w:tabs>
              <w:spacing w:after="120"/>
              <w:ind w:left="0"/>
              <w:jc w:val="both"/>
              <w:rPr>
                <w:rFonts w:ascii="Times New Roman" w:hAnsi="Times New Roman" w:eastAsiaTheme="minorHAnsi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Cs w:val="20"/>
                <w:lang w:eastAsia="en-US"/>
              </w:rPr>
              <w:t xml:space="preserve">         </w:t>
            </w:r>
            <w:r>
              <w:rPr>
                <w:rFonts w:ascii="Times New Roman" w:hAnsi="Times New Roman" w:eastAsiaTheme="minorHAnsi"/>
                <w:szCs w:val="20"/>
                <w:lang w:eastAsia="en-US"/>
              </w:rPr>
              <w:t>10.1. В данном подразделе представить поэтажные планы с расстановкой всего технологического оборудования по помещениям (водонагреватели, компьютеры, МФУ, все оборудование, требующее подключения к электросети) и спецификацию технологического оборудования с указанием марок и количества.</w:t>
            </w:r>
          </w:p>
          <w:p>
            <w:pPr>
              <w:tabs>
                <w:tab w:val="left" w:pos="727"/>
              </w:tabs>
              <w:spacing w:after="120"/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 xml:space="preserve">    11. </w:t>
            </w:r>
            <w:r>
              <w:rPr>
                <w:rFonts w:ascii="Times New Roman" w:hAnsi="Times New Roman" w:eastAsiaTheme="minorHAnsi"/>
                <w:b/>
                <w:sz w:val="20"/>
                <w:szCs w:val="20"/>
                <w:lang w:eastAsia="en-US"/>
              </w:rPr>
              <w:t>Разработать раздел 12 «Требования к обеспечению безопасной эксплуатации объекта капитального строительства»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согласно ГОСТ Р 21.1101-2013 и СП 255.1325800.2016.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numPr>
                <w:ilvl w:val="0"/>
                <w:numId w:val="1"/>
              </w:numPr>
              <w:rPr>
                <w:rFonts w:ascii="Times New Roman" w:hAnsi="Times New Roman" w:eastAsiaTheme="minorHAnsi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Cs w:val="20"/>
                <w:lang w:eastAsia="en-US"/>
              </w:rPr>
              <w:t>Дополнительные требования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numPr>
                <w:ilvl w:val="0"/>
                <w:numId w:val="7"/>
              </w:numPr>
              <w:spacing w:before="120"/>
              <w:ind w:left="28" w:firstLine="0"/>
              <w:jc w:val="both"/>
              <w:rPr>
                <w:rFonts w:ascii="Times New Roman" w:hAnsi="Times New Roman" w:eastAsiaTheme="minorHAnsi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Cs w:val="20"/>
                <w:lang w:eastAsia="en-US"/>
              </w:rPr>
              <w:t>Результатом выполнения  работы, предусмотренной настоящим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 w:eastAsiaTheme="minorHAnsi"/>
                <w:szCs w:val="20"/>
                <w:lang w:eastAsia="en-US"/>
              </w:rPr>
              <w:t>Техническим заданием, являются документы: проектная и рабочая документация  в составе и содержании разделов, установленном с постановлением Правительства РФ от 16.02.2008 № 87, и не имеющую противоречий с: настоящим Техническим заданием; Свидетельством о согласовании архитектурно - градостроительного облика объекта капитального ремонта; согласованием с Главным управлением региональной безопасности Московской области; согласованием Мингосуправления Московской области. По окончании срока выполнения настоящего договора эта документация должна быть представлена в электронном виде на адрес электронной почты Заказчика и согласованна с ним.</w:t>
            </w:r>
          </w:p>
          <w:p>
            <w:pPr>
              <w:pStyle w:val="13"/>
              <w:numPr>
                <w:ilvl w:val="0"/>
                <w:numId w:val="7"/>
              </w:numPr>
              <w:ind w:left="30" w:firstLine="0"/>
              <w:jc w:val="both"/>
              <w:rPr>
                <w:rFonts w:ascii="Times New Roman" w:hAnsi="Times New Roman" w:eastAsiaTheme="minorHAnsi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Cs w:val="20"/>
                <w:lang w:eastAsia="en-US"/>
              </w:rPr>
              <w:t>Объем проектной документации должен быть достаточным для получения Заказчиком положительного заключения государственной экспертизы проектной документации и для осуществления капитального ремонта и благоустройства территории.</w:t>
            </w:r>
          </w:p>
          <w:p>
            <w:pPr>
              <w:pStyle w:val="13"/>
              <w:numPr>
                <w:ilvl w:val="0"/>
                <w:numId w:val="7"/>
              </w:numPr>
              <w:spacing w:line="276" w:lineRule="auto"/>
              <w:ind w:left="30" w:firstLine="0"/>
              <w:jc w:val="both"/>
              <w:rPr>
                <w:rFonts w:ascii="Times New Roman" w:hAnsi="Times New Roman" w:eastAsiaTheme="minorHAnsi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szCs w:val="20"/>
                <w:lang w:eastAsia="en-US"/>
              </w:rPr>
              <w:t>Подрядчик должен обеспечить техническое сопровождение государственной экспертизы проектной документации.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4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.       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До разработки раздела "Технологические решения" согласовать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 письменной форме с представителями Заказчика марки и количество технологического оборудования конкретно по каждому помещению.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5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.     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Выполнить пояснительную записку к сметной документации с применением текущих цен - на основании прайс-листов (Приложение ПЦСН-2014-МО).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6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.     Предусмотреть в проектной документации пути перемещения для маломобильных групп населения. Особое внимание уделить входным группам.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7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. 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 составе предпроектной документации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осуществить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уточнен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ие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и обновлен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ие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топографическ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ого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план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а земельного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участка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. Данные по уточнению и обновлению представить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в составе комплексного технического отчета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на бумажном носителе в 3-х экз. и в электронном виде в формате pdf и dwg на 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USB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Flash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накопителе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в одном экземпляре.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8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. Представить светотехнический расчет.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9.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Представить геопозиционный план расположения оборудования наружного освещения.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10.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подразделу «Система  видеонаблюдения» представить </w:t>
            </w:r>
            <w:r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согласованную схему мест установки и сцен обзора видеокамер в Рабочей группе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FFFFF"/>
              </w:rPr>
              <w:t> по развитию системы «Безопасный регион» Администрации муниципального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; с</w:t>
            </w:r>
            <w:r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огласованную схему 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FFFFF"/>
              </w:rPr>
              <w:t xml:space="preserve">мест установки и сцен обзора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FFFFF"/>
                <w:lang w:val="ru-RU"/>
              </w:rPr>
              <w:t>видеокамер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FFFFF"/>
              </w:rPr>
              <w:t xml:space="preserve"> в Главном управлении региональной безопасности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; а также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сог</w:t>
            </w:r>
            <w:r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ласованную 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FFFFF"/>
              </w:rPr>
              <w:t>проектную</w:t>
            </w:r>
            <w:r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 документацию</w:t>
            </w:r>
            <w:r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FFFFF"/>
              </w:rPr>
              <w:t>Мингосуправлении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11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. Представить согласованную проектную документацию (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раздел «Электрические сети»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) с АО «Мособлэнерго».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12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. Представить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паспорт колористического решения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,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с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оглас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ованный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Главным архитектором Городского округа Подольск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Московской области.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13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. Представить свидетельство о согласовании архитектурно-градостроительного облика объекта Главным управлением архитектуры и градостроительства Московской области.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14.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Согласованная с Заказчиком п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роектная документация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после получения положительного заключения проектной документации ГАУ Московская областная государственная экспертиза (силами Заказчика)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должна быть представлена на бумажном носителе в 3-х экз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. и в электронном виде (комплект проектно-сметной документации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 электронном виде в формате pdf и dwg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н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а 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USB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Flash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накопителе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в одном экземпляре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должен быть идентичен комплекту на бумажном носителе)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15.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Согласованная с Заказчиком рабочая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документация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после получения положительного заключения проектной документации ГАУ Московская областная государственная экспертиза (силами Заказчика)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должна быть представлена на бумажном носителе в 3-х экз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. и в электронном виде (комплект проектно-сметной документации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в электронном виде в формате pdf и dwg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н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а 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USB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>-</w:t>
            </w:r>
            <w:r>
              <w:rPr>
                <w:rFonts w:ascii="Times New Roman" w:hAnsi="Times New Roman" w:eastAsiaTheme="minorHAnsi"/>
                <w:sz w:val="20"/>
                <w:szCs w:val="20"/>
                <w:lang w:val="en-US" w:eastAsia="en-US"/>
              </w:rPr>
              <w:t>Flash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накопителе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 в одном экземпляре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должен быть идентичен комплекту на бумажном носителе)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16.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 xml:space="preserve">Бумажная и электронная версии 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всей представленной </w:t>
            </w:r>
            <w:r>
              <w:rPr>
                <w:rFonts w:ascii="Times New Roman" w:hAnsi="Times New Roman" w:eastAsiaTheme="minorHAnsi"/>
                <w:sz w:val="20"/>
                <w:szCs w:val="20"/>
                <w:lang w:eastAsia="en-US"/>
              </w:rPr>
              <w:t>документации должны быть идентичны.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17.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Предоставление части проектной и рабочей документации (не в полном объеме) не допускается.</w:t>
            </w:r>
          </w:p>
          <w:p>
            <w:pPr>
              <w:jc w:val="both"/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eastAsiaTheme="minorHAnsi"/>
                <w:b/>
                <w:sz w:val="20"/>
                <w:szCs w:val="20"/>
                <w:lang w:val="ru-RU" w:eastAsia="en-US"/>
              </w:rPr>
              <w:t>18.</w:t>
            </w:r>
            <w:r>
              <w:rPr>
                <w:rFonts w:ascii="Times New Roman" w:hAnsi="Times New Roman" w:eastAsiaTheme="minorHAnsi"/>
                <w:sz w:val="20"/>
                <w:szCs w:val="20"/>
                <w:lang w:val="ru-RU" w:eastAsia="en-US"/>
              </w:rPr>
              <w:t xml:space="preserve"> Файлы не должны содержать не доступных для прочтения (рассмотрения) надписей, условных обозначений, толщин линий, текстур, рисунков, архитектурных деталей.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val="ru-RU" w:eastAsia="en-US"/>
              </w:rPr>
              <w:t xml:space="preserve">Требования к гарантии на выполненные работы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Подрядчик гарантирует качество выполнения работ в соответствии с требованиями, указанными в пункте 5.4.2 Договора.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Подрядчик несет ответственность за ненадлежащее составление проектной документации, включая недостатки, обнаруженные впоследствии в ходе проведения ремонта, а также в процессе эксплуатации объекта, созданного на основе проектной документации, в соответствии со  статьей 761 Гражданского кодекса  Российской Федерации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Гарантийный срок на выполняемые по настоящему Договору работы составляет 2 (два) года с момента подписания Заказчиком документа о приемке (Акт о выполнении работ).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Если в период гарантийного срока обнаружатся недостатки, то Подрядчик (в случае, если не докажет отсутствие своей вины) обязан устранить их за свой счет в сроки, зафиксированные в акте с перечнем выявленных недостатков, направленном Заказчиком в адрес Подрядчика. Гарантийный срок в этом случае соответственно продлевается на период устранения недостатков.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При отказе Подрядчика от подписания акта о недостатках, обнаруженных в период гарантийного срока, Заказчик проводит за счет Подрядчика квалифицированную экспертизу с привлечением экспертов (специалистов), по итогам которой составляется соответствующий акт, фиксирующий затраты по исправлению недостатков.</w:t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color w:val="auto"/>
                <w:sz w:val="20"/>
                <w:szCs w:val="20"/>
                <w:lang w:eastAsia="en-US"/>
              </w:rPr>
            </w:pPr>
          </w:p>
        </w:tc>
      </w:tr>
    </w:tbl>
    <w:p>
      <w:pPr>
        <w:rPr>
          <w:rFonts w:ascii="Times New Roman" w:hAnsi="Times New Roman" w:cs="Times New Roman"/>
          <w:sz w:val="20"/>
          <w:szCs w:val="20"/>
          <w:lang w:val="ru-RU"/>
        </w:rPr>
      </w:pPr>
    </w:p>
    <w:sectPr>
      <w:footerReference r:id="rId3" w:type="default"/>
      <w:pgSz w:w="11906" w:h="16838"/>
      <w:pgMar w:top="568" w:right="850" w:bottom="709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80322033"/>
      <w:docPartObj>
        <w:docPartGallery w:val="autotext"/>
      </w:docPartObj>
    </w:sdtPr>
    <w:sdtContent>
      <w:p>
        <w:pPr>
          <w:pStyle w:val="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</w:t>
        </w:r>
        <w:r>
          <w:fldChar w:fldCharType="end"/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A33CD"/>
    <w:multiLevelType w:val="multilevel"/>
    <w:tmpl w:val="152A33CD"/>
    <w:lvl w:ilvl="0" w:tentative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43C88"/>
    <w:multiLevelType w:val="multilevel"/>
    <w:tmpl w:val="19243C8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E53C4"/>
    <w:multiLevelType w:val="multilevel"/>
    <w:tmpl w:val="21FE53C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50047491"/>
    <w:multiLevelType w:val="multilevel"/>
    <w:tmpl w:val="50047491"/>
    <w:lvl w:ilvl="0" w:tentative="0">
      <w:start w:val="1"/>
      <w:numFmt w:val="decimal"/>
      <w:lvlText w:val="%1."/>
      <w:lvlJc w:val="left"/>
      <w:pPr>
        <w:ind w:left="502" w:hanging="360"/>
      </w:pPr>
    </w:lvl>
    <w:lvl w:ilvl="1" w:tentative="0">
      <w:start w:val="1"/>
      <w:numFmt w:val="lowerLetter"/>
      <w:lvlText w:val="%2."/>
      <w:lvlJc w:val="left"/>
      <w:pPr>
        <w:ind w:left="1222" w:hanging="360"/>
      </w:pPr>
    </w:lvl>
    <w:lvl w:ilvl="2" w:tentative="0">
      <w:start w:val="1"/>
      <w:numFmt w:val="lowerRoman"/>
      <w:lvlText w:val="%3."/>
      <w:lvlJc w:val="right"/>
      <w:pPr>
        <w:ind w:left="1942" w:hanging="180"/>
      </w:pPr>
    </w:lvl>
    <w:lvl w:ilvl="3" w:tentative="0">
      <w:start w:val="1"/>
      <w:numFmt w:val="decimal"/>
      <w:lvlText w:val="%4."/>
      <w:lvlJc w:val="left"/>
      <w:pPr>
        <w:ind w:left="2662" w:hanging="360"/>
      </w:pPr>
    </w:lvl>
    <w:lvl w:ilvl="4" w:tentative="0">
      <w:start w:val="1"/>
      <w:numFmt w:val="lowerLetter"/>
      <w:lvlText w:val="%5."/>
      <w:lvlJc w:val="left"/>
      <w:pPr>
        <w:ind w:left="3382" w:hanging="360"/>
      </w:pPr>
    </w:lvl>
    <w:lvl w:ilvl="5" w:tentative="0">
      <w:start w:val="1"/>
      <w:numFmt w:val="lowerRoman"/>
      <w:lvlText w:val="%6."/>
      <w:lvlJc w:val="right"/>
      <w:pPr>
        <w:ind w:left="4102" w:hanging="180"/>
      </w:pPr>
    </w:lvl>
    <w:lvl w:ilvl="6" w:tentative="0">
      <w:start w:val="1"/>
      <w:numFmt w:val="decimal"/>
      <w:lvlText w:val="%7."/>
      <w:lvlJc w:val="left"/>
      <w:pPr>
        <w:ind w:left="4822" w:hanging="360"/>
      </w:pPr>
    </w:lvl>
    <w:lvl w:ilvl="7" w:tentative="0">
      <w:start w:val="1"/>
      <w:numFmt w:val="lowerLetter"/>
      <w:lvlText w:val="%8."/>
      <w:lvlJc w:val="left"/>
      <w:pPr>
        <w:ind w:left="5542" w:hanging="360"/>
      </w:pPr>
    </w:lvl>
    <w:lvl w:ilvl="8" w:tentative="0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0BB67BB"/>
    <w:multiLevelType w:val="multilevel"/>
    <w:tmpl w:val="50BB67BB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857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76A4299"/>
    <w:multiLevelType w:val="multilevel"/>
    <w:tmpl w:val="576A4299"/>
    <w:lvl w:ilvl="0" w:tentative="0">
      <w:start w:val="1"/>
      <w:numFmt w:val="bullet"/>
      <w:lvlText w:val=""/>
      <w:lvlJc w:val="left"/>
      <w:pPr>
        <w:ind w:left="50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7BAB15FC"/>
    <w:multiLevelType w:val="multilevel"/>
    <w:tmpl w:val="7BAB15FC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663"/>
    <w:rsid w:val="00000078"/>
    <w:rsid w:val="000002CA"/>
    <w:rsid w:val="000027FB"/>
    <w:rsid w:val="00003C16"/>
    <w:rsid w:val="00007B33"/>
    <w:rsid w:val="00007D10"/>
    <w:rsid w:val="00013C1A"/>
    <w:rsid w:val="000143D3"/>
    <w:rsid w:val="00014553"/>
    <w:rsid w:val="00017ADC"/>
    <w:rsid w:val="000206C9"/>
    <w:rsid w:val="0002097D"/>
    <w:rsid w:val="000212AA"/>
    <w:rsid w:val="000216E6"/>
    <w:rsid w:val="0002356A"/>
    <w:rsid w:val="00025DF3"/>
    <w:rsid w:val="00026CE3"/>
    <w:rsid w:val="000272A8"/>
    <w:rsid w:val="00027AC3"/>
    <w:rsid w:val="00032795"/>
    <w:rsid w:val="0003374A"/>
    <w:rsid w:val="000355A9"/>
    <w:rsid w:val="000357F6"/>
    <w:rsid w:val="00036894"/>
    <w:rsid w:val="00041470"/>
    <w:rsid w:val="00043FE9"/>
    <w:rsid w:val="0004451A"/>
    <w:rsid w:val="00050824"/>
    <w:rsid w:val="00053404"/>
    <w:rsid w:val="00054955"/>
    <w:rsid w:val="00056697"/>
    <w:rsid w:val="00056F64"/>
    <w:rsid w:val="00060066"/>
    <w:rsid w:val="000608EE"/>
    <w:rsid w:val="000614A6"/>
    <w:rsid w:val="0006274E"/>
    <w:rsid w:val="00062E1E"/>
    <w:rsid w:val="00064021"/>
    <w:rsid w:val="00067934"/>
    <w:rsid w:val="00070442"/>
    <w:rsid w:val="00073A31"/>
    <w:rsid w:val="00074110"/>
    <w:rsid w:val="00074A8B"/>
    <w:rsid w:val="00075376"/>
    <w:rsid w:val="0007710A"/>
    <w:rsid w:val="00077D4A"/>
    <w:rsid w:val="00080242"/>
    <w:rsid w:val="00080658"/>
    <w:rsid w:val="00083F43"/>
    <w:rsid w:val="00084AFD"/>
    <w:rsid w:val="00084B96"/>
    <w:rsid w:val="00084CC0"/>
    <w:rsid w:val="00085E22"/>
    <w:rsid w:val="00086AF4"/>
    <w:rsid w:val="00090A4F"/>
    <w:rsid w:val="00092312"/>
    <w:rsid w:val="00093D94"/>
    <w:rsid w:val="000A0E2D"/>
    <w:rsid w:val="000A24A0"/>
    <w:rsid w:val="000A2633"/>
    <w:rsid w:val="000A2A33"/>
    <w:rsid w:val="000A3EFD"/>
    <w:rsid w:val="000A4361"/>
    <w:rsid w:val="000A4F33"/>
    <w:rsid w:val="000A5D61"/>
    <w:rsid w:val="000A686B"/>
    <w:rsid w:val="000B0503"/>
    <w:rsid w:val="000B4DB6"/>
    <w:rsid w:val="000B7EF5"/>
    <w:rsid w:val="000C02CA"/>
    <w:rsid w:val="000C36CC"/>
    <w:rsid w:val="000C4A4D"/>
    <w:rsid w:val="000C4DEA"/>
    <w:rsid w:val="000C6F0E"/>
    <w:rsid w:val="000C7447"/>
    <w:rsid w:val="000C7B28"/>
    <w:rsid w:val="000C7ED4"/>
    <w:rsid w:val="000D507D"/>
    <w:rsid w:val="000D56CD"/>
    <w:rsid w:val="000D73CE"/>
    <w:rsid w:val="000D7ADB"/>
    <w:rsid w:val="000E2248"/>
    <w:rsid w:val="000E30BB"/>
    <w:rsid w:val="000E3244"/>
    <w:rsid w:val="000E4F75"/>
    <w:rsid w:val="000E71D7"/>
    <w:rsid w:val="000F3B10"/>
    <w:rsid w:val="000F5447"/>
    <w:rsid w:val="000F67B4"/>
    <w:rsid w:val="000F74CC"/>
    <w:rsid w:val="000F7AB7"/>
    <w:rsid w:val="00102170"/>
    <w:rsid w:val="0010262D"/>
    <w:rsid w:val="00102A6B"/>
    <w:rsid w:val="00103718"/>
    <w:rsid w:val="001040EF"/>
    <w:rsid w:val="001056FA"/>
    <w:rsid w:val="001072C5"/>
    <w:rsid w:val="001126EF"/>
    <w:rsid w:val="001157C4"/>
    <w:rsid w:val="00117A81"/>
    <w:rsid w:val="00121325"/>
    <w:rsid w:val="00126A7E"/>
    <w:rsid w:val="001332D2"/>
    <w:rsid w:val="0013437C"/>
    <w:rsid w:val="0013509E"/>
    <w:rsid w:val="00135673"/>
    <w:rsid w:val="001407B4"/>
    <w:rsid w:val="00140C46"/>
    <w:rsid w:val="00142332"/>
    <w:rsid w:val="001526E4"/>
    <w:rsid w:val="00152D19"/>
    <w:rsid w:val="00154AA7"/>
    <w:rsid w:val="00156D37"/>
    <w:rsid w:val="00157D9D"/>
    <w:rsid w:val="00157E8C"/>
    <w:rsid w:val="001601C9"/>
    <w:rsid w:val="001603A7"/>
    <w:rsid w:val="001609D8"/>
    <w:rsid w:val="00160B2C"/>
    <w:rsid w:val="00163544"/>
    <w:rsid w:val="00164A24"/>
    <w:rsid w:val="00164CFB"/>
    <w:rsid w:val="00165C4E"/>
    <w:rsid w:val="00166141"/>
    <w:rsid w:val="00171396"/>
    <w:rsid w:val="00173F74"/>
    <w:rsid w:val="001742E8"/>
    <w:rsid w:val="001758E0"/>
    <w:rsid w:val="00175B8F"/>
    <w:rsid w:val="00176B05"/>
    <w:rsid w:val="001778B3"/>
    <w:rsid w:val="00183952"/>
    <w:rsid w:val="00185296"/>
    <w:rsid w:val="00185EE3"/>
    <w:rsid w:val="0018773D"/>
    <w:rsid w:val="001917B6"/>
    <w:rsid w:val="00193D7E"/>
    <w:rsid w:val="00193DF3"/>
    <w:rsid w:val="00196258"/>
    <w:rsid w:val="0019652D"/>
    <w:rsid w:val="0019720B"/>
    <w:rsid w:val="001972A9"/>
    <w:rsid w:val="00197B95"/>
    <w:rsid w:val="001A6D2A"/>
    <w:rsid w:val="001B0093"/>
    <w:rsid w:val="001B01AD"/>
    <w:rsid w:val="001B0988"/>
    <w:rsid w:val="001B3B86"/>
    <w:rsid w:val="001B542C"/>
    <w:rsid w:val="001B578A"/>
    <w:rsid w:val="001B7BC0"/>
    <w:rsid w:val="001B7BD6"/>
    <w:rsid w:val="001C18CF"/>
    <w:rsid w:val="001C4986"/>
    <w:rsid w:val="001C5304"/>
    <w:rsid w:val="001C5956"/>
    <w:rsid w:val="001D00EB"/>
    <w:rsid w:val="001D1493"/>
    <w:rsid w:val="001D1992"/>
    <w:rsid w:val="001D2821"/>
    <w:rsid w:val="001D28C9"/>
    <w:rsid w:val="001D4434"/>
    <w:rsid w:val="001E0DFB"/>
    <w:rsid w:val="001E1031"/>
    <w:rsid w:val="001E1C92"/>
    <w:rsid w:val="001E23C3"/>
    <w:rsid w:val="001E58E6"/>
    <w:rsid w:val="001E594F"/>
    <w:rsid w:val="001E7DB5"/>
    <w:rsid w:val="001F1AC0"/>
    <w:rsid w:val="001F1D8A"/>
    <w:rsid w:val="001F3DFD"/>
    <w:rsid w:val="001F4386"/>
    <w:rsid w:val="001F54D7"/>
    <w:rsid w:val="001F75C3"/>
    <w:rsid w:val="00200067"/>
    <w:rsid w:val="00200D84"/>
    <w:rsid w:val="00205EF6"/>
    <w:rsid w:val="0020666D"/>
    <w:rsid w:val="00207C39"/>
    <w:rsid w:val="0021004A"/>
    <w:rsid w:val="0021224E"/>
    <w:rsid w:val="002125EF"/>
    <w:rsid w:val="00212C37"/>
    <w:rsid w:val="00214078"/>
    <w:rsid w:val="00214974"/>
    <w:rsid w:val="0021507C"/>
    <w:rsid w:val="002163BB"/>
    <w:rsid w:val="00220BDE"/>
    <w:rsid w:val="002245D5"/>
    <w:rsid w:val="00225472"/>
    <w:rsid w:val="002256F6"/>
    <w:rsid w:val="00226070"/>
    <w:rsid w:val="002268BC"/>
    <w:rsid w:val="002268FE"/>
    <w:rsid w:val="00227985"/>
    <w:rsid w:val="00231DAC"/>
    <w:rsid w:val="00235B76"/>
    <w:rsid w:val="00236CDA"/>
    <w:rsid w:val="0024096A"/>
    <w:rsid w:val="00240A70"/>
    <w:rsid w:val="00242B1B"/>
    <w:rsid w:val="00243E26"/>
    <w:rsid w:val="0025208C"/>
    <w:rsid w:val="002530BA"/>
    <w:rsid w:val="002538DA"/>
    <w:rsid w:val="00253B0C"/>
    <w:rsid w:val="00264347"/>
    <w:rsid w:val="00264C17"/>
    <w:rsid w:val="002657A7"/>
    <w:rsid w:val="002665A3"/>
    <w:rsid w:val="00270832"/>
    <w:rsid w:val="002736D4"/>
    <w:rsid w:val="00273701"/>
    <w:rsid w:val="00275EA5"/>
    <w:rsid w:val="00276F66"/>
    <w:rsid w:val="0028036C"/>
    <w:rsid w:val="00284808"/>
    <w:rsid w:val="00284BFA"/>
    <w:rsid w:val="00284EFE"/>
    <w:rsid w:val="002954F5"/>
    <w:rsid w:val="00297BBA"/>
    <w:rsid w:val="002A4DE4"/>
    <w:rsid w:val="002A4EB9"/>
    <w:rsid w:val="002B0BD0"/>
    <w:rsid w:val="002B1489"/>
    <w:rsid w:val="002B5151"/>
    <w:rsid w:val="002B68D1"/>
    <w:rsid w:val="002B778D"/>
    <w:rsid w:val="002B782D"/>
    <w:rsid w:val="002B7922"/>
    <w:rsid w:val="002C07EB"/>
    <w:rsid w:val="002C0E59"/>
    <w:rsid w:val="002C21B5"/>
    <w:rsid w:val="002C5DE2"/>
    <w:rsid w:val="002C7D69"/>
    <w:rsid w:val="002D05E4"/>
    <w:rsid w:val="002D07DA"/>
    <w:rsid w:val="002D171F"/>
    <w:rsid w:val="002D21BB"/>
    <w:rsid w:val="002D36C6"/>
    <w:rsid w:val="002D5FE6"/>
    <w:rsid w:val="002E233A"/>
    <w:rsid w:val="002E340D"/>
    <w:rsid w:val="002E4930"/>
    <w:rsid w:val="002E740E"/>
    <w:rsid w:val="002E75BD"/>
    <w:rsid w:val="002E79BA"/>
    <w:rsid w:val="002E7BCD"/>
    <w:rsid w:val="002F0131"/>
    <w:rsid w:val="002F0385"/>
    <w:rsid w:val="002F0479"/>
    <w:rsid w:val="002F1A45"/>
    <w:rsid w:val="002F3381"/>
    <w:rsid w:val="002F3597"/>
    <w:rsid w:val="002F35DA"/>
    <w:rsid w:val="002F373C"/>
    <w:rsid w:val="002F5772"/>
    <w:rsid w:val="002F71BD"/>
    <w:rsid w:val="002F798E"/>
    <w:rsid w:val="00301003"/>
    <w:rsid w:val="003019D5"/>
    <w:rsid w:val="0030375A"/>
    <w:rsid w:val="00303DBB"/>
    <w:rsid w:val="003103B6"/>
    <w:rsid w:val="00311C0A"/>
    <w:rsid w:val="0031314B"/>
    <w:rsid w:val="00313448"/>
    <w:rsid w:val="00313718"/>
    <w:rsid w:val="00314F5B"/>
    <w:rsid w:val="00314FDB"/>
    <w:rsid w:val="0031677F"/>
    <w:rsid w:val="003216F9"/>
    <w:rsid w:val="00322B62"/>
    <w:rsid w:val="0032459C"/>
    <w:rsid w:val="00324870"/>
    <w:rsid w:val="00326F18"/>
    <w:rsid w:val="00327328"/>
    <w:rsid w:val="0033034F"/>
    <w:rsid w:val="00333F51"/>
    <w:rsid w:val="0033731B"/>
    <w:rsid w:val="00344AB8"/>
    <w:rsid w:val="00344B6D"/>
    <w:rsid w:val="0034582A"/>
    <w:rsid w:val="003516B6"/>
    <w:rsid w:val="00355FDF"/>
    <w:rsid w:val="003561C4"/>
    <w:rsid w:val="00356691"/>
    <w:rsid w:val="00357911"/>
    <w:rsid w:val="00360ADE"/>
    <w:rsid w:val="00362775"/>
    <w:rsid w:val="00364A6C"/>
    <w:rsid w:val="00364B55"/>
    <w:rsid w:val="0036611D"/>
    <w:rsid w:val="0036710E"/>
    <w:rsid w:val="00372629"/>
    <w:rsid w:val="003741E5"/>
    <w:rsid w:val="00375910"/>
    <w:rsid w:val="00376AB7"/>
    <w:rsid w:val="00380F06"/>
    <w:rsid w:val="00381162"/>
    <w:rsid w:val="0038191C"/>
    <w:rsid w:val="00381F1A"/>
    <w:rsid w:val="00391513"/>
    <w:rsid w:val="0039174B"/>
    <w:rsid w:val="003936A4"/>
    <w:rsid w:val="00393F7B"/>
    <w:rsid w:val="00394592"/>
    <w:rsid w:val="00397BEA"/>
    <w:rsid w:val="00397D6D"/>
    <w:rsid w:val="003A0467"/>
    <w:rsid w:val="003A0541"/>
    <w:rsid w:val="003A0D98"/>
    <w:rsid w:val="003A0FA3"/>
    <w:rsid w:val="003A48AB"/>
    <w:rsid w:val="003A48B8"/>
    <w:rsid w:val="003A5266"/>
    <w:rsid w:val="003A584C"/>
    <w:rsid w:val="003B0364"/>
    <w:rsid w:val="003B131F"/>
    <w:rsid w:val="003B1B25"/>
    <w:rsid w:val="003B28D1"/>
    <w:rsid w:val="003B2B7C"/>
    <w:rsid w:val="003B4DAD"/>
    <w:rsid w:val="003B574E"/>
    <w:rsid w:val="003B7E7C"/>
    <w:rsid w:val="003C4920"/>
    <w:rsid w:val="003C4CEB"/>
    <w:rsid w:val="003C4E49"/>
    <w:rsid w:val="003C6F31"/>
    <w:rsid w:val="003D3C4B"/>
    <w:rsid w:val="003D7CD4"/>
    <w:rsid w:val="003E037F"/>
    <w:rsid w:val="003E173F"/>
    <w:rsid w:val="003E17FB"/>
    <w:rsid w:val="003E62FF"/>
    <w:rsid w:val="003E6D9B"/>
    <w:rsid w:val="003F3AE4"/>
    <w:rsid w:val="003F5465"/>
    <w:rsid w:val="003F5C86"/>
    <w:rsid w:val="003F6421"/>
    <w:rsid w:val="003F75C0"/>
    <w:rsid w:val="004004B0"/>
    <w:rsid w:val="00402988"/>
    <w:rsid w:val="00404079"/>
    <w:rsid w:val="00404DDE"/>
    <w:rsid w:val="00405B47"/>
    <w:rsid w:val="00413E94"/>
    <w:rsid w:val="00414F76"/>
    <w:rsid w:val="00414FE0"/>
    <w:rsid w:val="00415A93"/>
    <w:rsid w:val="00417121"/>
    <w:rsid w:val="00417906"/>
    <w:rsid w:val="00417E7C"/>
    <w:rsid w:val="004247EC"/>
    <w:rsid w:val="004256F6"/>
    <w:rsid w:val="0043065D"/>
    <w:rsid w:val="00430E8F"/>
    <w:rsid w:val="00433480"/>
    <w:rsid w:val="00434687"/>
    <w:rsid w:val="00437CAD"/>
    <w:rsid w:val="0044005C"/>
    <w:rsid w:val="0044134F"/>
    <w:rsid w:val="00443918"/>
    <w:rsid w:val="00445BE8"/>
    <w:rsid w:val="00447190"/>
    <w:rsid w:val="0044763F"/>
    <w:rsid w:val="004512BA"/>
    <w:rsid w:val="004528B1"/>
    <w:rsid w:val="00455582"/>
    <w:rsid w:val="0045621D"/>
    <w:rsid w:val="0045720A"/>
    <w:rsid w:val="004601F1"/>
    <w:rsid w:val="00461306"/>
    <w:rsid w:val="00461F24"/>
    <w:rsid w:val="00467B0E"/>
    <w:rsid w:val="0047059B"/>
    <w:rsid w:val="00470C45"/>
    <w:rsid w:val="004720FD"/>
    <w:rsid w:val="00474A56"/>
    <w:rsid w:val="004750C2"/>
    <w:rsid w:val="00482343"/>
    <w:rsid w:val="0048547B"/>
    <w:rsid w:val="00490C03"/>
    <w:rsid w:val="00491A41"/>
    <w:rsid w:val="00493822"/>
    <w:rsid w:val="00493F64"/>
    <w:rsid w:val="00495102"/>
    <w:rsid w:val="00497F80"/>
    <w:rsid w:val="004A10E2"/>
    <w:rsid w:val="004A6966"/>
    <w:rsid w:val="004A7B50"/>
    <w:rsid w:val="004B2929"/>
    <w:rsid w:val="004B47A6"/>
    <w:rsid w:val="004B5EBB"/>
    <w:rsid w:val="004B782B"/>
    <w:rsid w:val="004C1800"/>
    <w:rsid w:val="004C1CE7"/>
    <w:rsid w:val="004C29E2"/>
    <w:rsid w:val="004C6761"/>
    <w:rsid w:val="004D0A32"/>
    <w:rsid w:val="004D10B5"/>
    <w:rsid w:val="004D1929"/>
    <w:rsid w:val="004D61C8"/>
    <w:rsid w:val="004D6269"/>
    <w:rsid w:val="004D63ED"/>
    <w:rsid w:val="004E0C89"/>
    <w:rsid w:val="004E0D14"/>
    <w:rsid w:val="004E12C5"/>
    <w:rsid w:val="004E29C6"/>
    <w:rsid w:val="004E49AF"/>
    <w:rsid w:val="004F012A"/>
    <w:rsid w:val="004F071A"/>
    <w:rsid w:val="004F1135"/>
    <w:rsid w:val="004F1AED"/>
    <w:rsid w:val="004F7806"/>
    <w:rsid w:val="00501B26"/>
    <w:rsid w:val="00502129"/>
    <w:rsid w:val="00503E42"/>
    <w:rsid w:val="00505F3B"/>
    <w:rsid w:val="005078A2"/>
    <w:rsid w:val="00510459"/>
    <w:rsid w:val="0051181C"/>
    <w:rsid w:val="00512DB1"/>
    <w:rsid w:val="0051549A"/>
    <w:rsid w:val="00515B96"/>
    <w:rsid w:val="00521146"/>
    <w:rsid w:val="00521709"/>
    <w:rsid w:val="00522811"/>
    <w:rsid w:val="00522896"/>
    <w:rsid w:val="00531CCC"/>
    <w:rsid w:val="00531F98"/>
    <w:rsid w:val="00533119"/>
    <w:rsid w:val="005339CE"/>
    <w:rsid w:val="00534A95"/>
    <w:rsid w:val="0053580F"/>
    <w:rsid w:val="00536DAD"/>
    <w:rsid w:val="00540D83"/>
    <w:rsid w:val="00541DE1"/>
    <w:rsid w:val="005423D6"/>
    <w:rsid w:val="00543CCB"/>
    <w:rsid w:val="005449AE"/>
    <w:rsid w:val="00546160"/>
    <w:rsid w:val="0054695D"/>
    <w:rsid w:val="00546B04"/>
    <w:rsid w:val="00552D01"/>
    <w:rsid w:val="00562371"/>
    <w:rsid w:val="005716B5"/>
    <w:rsid w:val="0057217A"/>
    <w:rsid w:val="0057233E"/>
    <w:rsid w:val="00573A90"/>
    <w:rsid w:val="0057621D"/>
    <w:rsid w:val="00580791"/>
    <w:rsid w:val="00580C2A"/>
    <w:rsid w:val="00581F01"/>
    <w:rsid w:val="00585991"/>
    <w:rsid w:val="00585C51"/>
    <w:rsid w:val="00586154"/>
    <w:rsid w:val="005874F1"/>
    <w:rsid w:val="005900A4"/>
    <w:rsid w:val="00592835"/>
    <w:rsid w:val="00592C9B"/>
    <w:rsid w:val="00592D94"/>
    <w:rsid w:val="00597A45"/>
    <w:rsid w:val="005A003C"/>
    <w:rsid w:val="005A19EC"/>
    <w:rsid w:val="005A2208"/>
    <w:rsid w:val="005A3ABD"/>
    <w:rsid w:val="005A475E"/>
    <w:rsid w:val="005A5674"/>
    <w:rsid w:val="005A7962"/>
    <w:rsid w:val="005B1A7B"/>
    <w:rsid w:val="005B49E7"/>
    <w:rsid w:val="005C2F12"/>
    <w:rsid w:val="005C4876"/>
    <w:rsid w:val="005C592D"/>
    <w:rsid w:val="005C7C0B"/>
    <w:rsid w:val="005D03A4"/>
    <w:rsid w:val="005D2E47"/>
    <w:rsid w:val="005D32B0"/>
    <w:rsid w:val="005D4286"/>
    <w:rsid w:val="005D47FA"/>
    <w:rsid w:val="005D7871"/>
    <w:rsid w:val="005D7A0C"/>
    <w:rsid w:val="005D7A33"/>
    <w:rsid w:val="005E4225"/>
    <w:rsid w:val="005E4BE2"/>
    <w:rsid w:val="005E5D11"/>
    <w:rsid w:val="005E5EC8"/>
    <w:rsid w:val="005E6515"/>
    <w:rsid w:val="005E733E"/>
    <w:rsid w:val="005F6ADA"/>
    <w:rsid w:val="00600CBF"/>
    <w:rsid w:val="00602442"/>
    <w:rsid w:val="00606072"/>
    <w:rsid w:val="0061394F"/>
    <w:rsid w:val="00613FB9"/>
    <w:rsid w:val="00614F0D"/>
    <w:rsid w:val="00625F78"/>
    <w:rsid w:val="00626692"/>
    <w:rsid w:val="006308FB"/>
    <w:rsid w:val="00630B5A"/>
    <w:rsid w:val="00631057"/>
    <w:rsid w:val="0063361C"/>
    <w:rsid w:val="0063569B"/>
    <w:rsid w:val="00636499"/>
    <w:rsid w:val="0063780A"/>
    <w:rsid w:val="006425E8"/>
    <w:rsid w:val="006502AD"/>
    <w:rsid w:val="006535F0"/>
    <w:rsid w:val="00653644"/>
    <w:rsid w:val="0065654A"/>
    <w:rsid w:val="00656651"/>
    <w:rsid w:val="00667515"/>
    <w:rsid w:val="00674430"/>
    <w:rsid w:val="00675E4E"/>
    <w:rsid w:val="00676298"/>
    <w:rsid w:val="00677E05"/>
    <w:rsid w:val="006817B4"/>
    <w:rsid w:val="00682AF9"/>
    <w:rsid w:val="00683B43"/>
    <w:rsid w:val="0068541E"/>
    <w:rsid w:val="00685F20"/>
    <w:rsid w:val="00686B95"/>
    <w:rsid w:val="006925B1"/>
    <w:rsid w:val="00694B5C"/>
    <w:rsid w:val="00694E7A"/>
    <w:rsid w:val="00697485"/>
    <w:rsid w:val="006A0152"/>
    <w:rsid w:val="006A1F32"/>
    <w:rsid w:val="006A237D"/>
    <w:rsid w:val="006A4ADC"/>
    <w:rsid w:val="006A65C2"/>
    <w:rsid w:val="006A72E2"/>
    <w:rsid w:val="006A7BD3"/>
    <w:rsid w:val="006B302A"/>
    <w:rsid w:val="006B5101"/>
    <w:rsid w:val="006B51D7"/>
    <w:rsid w:val="006B709E"/>
    <w:rsid w:val="006C1084"/>
    <w:rsid w:val="006C5265"/>
    <w:rsid w:val="006C6AAE"/>
    <w:rsid w:val="006C77C6"/>
    <w:rsid w:val="006D204C"/>
    <w:rsid w:val="006D2393"/>
    <w:rsid w:val="006D282A"/>
    <w:rsid w:val="006D42B7"/>
    <w:rsid w:val="006D5DA8"/>
    <w:rsid w:val="006D66A2"/>
    <w:rsid w:val="006D7CA7"/>
    <w:rsid w:val="006E0267"/>
    <w:rsid w:val="006E080A"/>
    <w:rsid w:val="006E0B24"/>
    <w:rsid w:val="006E39CE"/>
    <w:rsid w:val="006E4B15"/>
    <w:rsid w:val="006E5954"/>
    <w:rsid w:val="006E64BB"/>
    <w:rsid w:val="006F0AA5"/>
    <w:rsid w:val="006F2DAE"/>
    <w:rsid w:val="006F33E7"/>
    <w:rsid w:val="006F3B1D"/>
    <w:rsid w:val="006F3C86"/>
    <w:rsid w:val="006F5A19"/>
    <w:rsid w:val="006F6B3B"/>
    <w:rsid w:val="007016BF"/>
    <w:rsid w:val="00701B4F"/>
    <w:rsid w:val="00701FA7"/>
    <w:rsid w:val="007020DE"/>
    <w:rsid w:val="00702C04"/>
    <w:rsid w:val="007041FA"/>
    <w:rsid w:val="00705C6C"/>
    <w:rsid w:val="00705E18"/>
    <w:rsid w:val="00706FFD"/>
    <w:rsid w:val="00711859"/>
    <w:rsid w:val="00711997"/>
    <w:rsid w:val="0071379D"/>
    <w:rsid w:val="00714728"/>
    <w:rsid w:val="007173E9"/>
    <w:rsid w:val="00717535"/>
    <w:rsid w:val="00720B87"/>
    <w:rsid w:val="00721650"/>
    <w:rsid w:val="00722186"/>
    <w:rsid w:val="00724497"/>
    <w:rsid w:val="0072477D"/>
    <w:rsid w:val="00726A33"/>
    <w:rsid w:val="007324ED"/>
    <w:rsid w:val="007358DE"/>
    <w:rsid w:val="00741D05"/>
    <w:rsid w:val="00742184"/>
    <w:rsid w:val="00743F2B"/>
    <w:rsid w:val="007472BD"/>
    <w:rsid w:val="00747EA3"/>
    <w:rsid w:val="00750881"/>
    <w:rsid w:val="0075311F"/>
    <w:rsid w:val="007547AA"/>
    <w:rsid w:val="00754DF3"/>
    <w:rsid w:val="0075633F"/>
    <w:rsid w:val="00756F29"/>
    <w:rsid w:val="007574A4"/>
    <w:rsid w:val="00762662"/>
    <w:rsid w:val="00762FCE"/>
    <w:rsid w:val="00765932"/>
    <w:rsid w:val="00765DE4"/>
    <w:rsid w:val="00766329"/>
    <w:rsid w:val="00766B46"/>
    <w:rsid w:val="0076788D"/>
    <w:rsid w:val="00770A50"/>
    <w:rsid w:val="00774557"/>
    <w:rsid w:val="00777A9A"/>
    <w:rsid w:val="007802C5"/>
    <w:rsid w:val="00780F6B"/>
    <w:rsid w:val="00782EB8"/>
    <w:rsid w:val="0078588D"/>
    <w:rsid w:val="00793ACA"/>
    <w:rsid w:val="0079644E"/>
    <w:rsid w:val="007A18D6"/>
    <w:rsid w:val="007A3CB2"/>
    <w:rsid w:val="007A4CDA"/>
    <w:rsid w:val="007A602A"/>
    <w:rsid w:val="007A615C"/>
    <w:rsid w:val="007B5CC2"/>
    <w:rsid w:val="007B6F5D"/>
    <w:rsid w:val="007C0103"/>
    <w:rsid w:val="007C1EC2"/>
    <w:rsid w:val="007C33A6"/>
    <w:rsid w:val="007C618C"/>
    <w:rsid w:val="007C678B"/>
    <w:rsid w:val="007D7452"/>
    <w:rsid w:val="007D7A40"/>
    <w:rsid w:val="007E11BB"/>
    <w:rsid w:val="007E1798"/>
    <w:rsid w:val="007E3381"/>
    <w:rsid w:val="007E36B4"/>
    <w:rsid w:val="007E3CFA"/>
    <w:rsid w:val="007E7962"/>
    <w:rsid w:val="007F0EEB"/>
    <w:rsid w:val="007F18E1"/>
    <w:rsid w:val="007F3BBD"/>
    <w:rsid w:val="00800117"/>
    <w:rsid w:val="00801D4E"/>
    <w:rsid w:val="008029AF"/>
    <w:rsid w:val="00803F9F"/>
    <w:rsid w:val="00804D78"/>
    <w:rsid w:val="00806ECE"/>
    <w:rsid w:val="00807687"/>
    <w:rsid w:val="008107B9"/>
    <w:rsid w:val="00810801"/>
    <w:rsid w:val="0081169B"/>
    <w:rsid w:val="008119C1"/>
    <w:rsid w:val="00813028"/>
    <w:rsid w:val="0081378F"/>
    <w:rsid w:val="00815B0B"/>
    <w:rsid w:val="00815D98"/>
    <w:rsid w:val="00817304"/>
    <w:rsid w:val="00820CE7"/>
    <w:rsid w:val="0082511C"/>
    <w:rsid w:val="0083129E"/>
    <w:rsid w:val="00834C33"/>
    <w:rsid w:val="008350B5"/>
    <w:rsid w:val="00837077"/>
    <w:rsid w:val="00837F3E"/>
    <w:rsid w:val="00840D8C"/>
    <w:rsid w:val="008462A3"/>
    <w:rsid w:val="008500C3"/>
    <w:rsid w:val="008505D9"/>
    <w:rsid w:val="00852C7D"/>
    <w:rsid w:val="00853192"/>
    <w:rsid w:val="00853B34"/>
    <w:rsid w:val="00854B9D"/>
    <w:rsid w:val="00854D67"/>
    <w:rsid w:val="00855DD2"/>
    <w:rsid w:val="008575DC"/>
    <w:rsid w:val="00860692"/>
    <w:rsid w:val="0086440F"/>
    <w:rsid w:val="00865572"/>
    <w:rsid w:val="00875C07"/>
    <w:rsid w:val="008802F6"/>
    <w:rsid w:val="00880375"/>
    <w:rsid w:val="00881987"/>
    <w:rsid w:val="00882108"/>
    <w:rsid w:val="008828AF"/>
    <w:rsid w:val="00885A11"/>
    <w:rsid w:val="00887A56"/>
    <w:rsid w:val="008917F9"/>
    <w:rsid w:val="008933BF"/>
    <w:rsid w:val="00893D4C"/>
    <w:rsid w:val="00893DDC"/>
    <w:rsid w:val="00895F4F"/>
    <w:rsid w:val="008A0BA9"/>
    <w:rsid w:val="008A0BF0"/>
    <w:rsid w:val="008A16D4"/>
    <w:rsid w:val="008A1D80"/>
    <w:rsid w:val="008A3DEE"/>
    <w:rsid w:val="008A477B"/>
    <w:rsid w:val="008A4B78"/>
    <w:rsid w:val="008A4E23"/>
    <w:rsid w:val="008A5C7F"/>
    <w:rsid w:val="008A630B"/>
    <w:rsid w:val="008A6787"/>
    <w:rsid w:val="008A693E"/>
    <w:rsid w:val="008A6A91"/>
    <w:rsid w:val="008B1393"/>
    <w:rsid w:val="008B1B74"/>
    <w:rsid w:val="008B23EE"/>
    <w:rsid w:val="008B437B"/>
    <w:rsid w:val="008B544D"/>
    <w:rsid w:val="008B5FA4"/>
    <w:rsid w:val="008B69C3"/>
    <w:rsid w:val="008C0F31"/>
    <w:rsid w:val="008C504D"/>
    <w:rsid w:val="008C7B4B"/>
    <w:rsid w:val="008D07ED"/>
    <w:rsid w:val="008D24B2"/>
    <w:rsid w:val="008D7EDD"/>
    <w:rsid w:val="008E1012"/>
    <w:rsid w:val="008E1DCD"/>
    <w:rsid w:val="008E1F63"/>
    <w:rsid w:val="008E3C14"/>
    <w:rsid w:val="008E56D5"/>
    <w:rsid w:val="008E5DC5"/>
    <w:rsid w:val="008F2132"/>
    <w:rsid w:val="008F2595"/>
    <w:rsid w:val="008F4DF6"/>
    <w:rsid w:val="008F73FF"/>
    <w:rsid w:val="008F7756"/>
    <w:rsid w:val="008F7F94"/>
    <w:rsid w:val="00905D2B"/>
    <w:rsid w:val="009070C9"/>
    <w:rsid w:val="009208AF"/>
    <w:rsid w:val="00922A57"/>
    <w:rsid w:val="009252ED"/>
    <w:rsid w:val="009263D8"/>
    <w:rsid w:val="00930102"/>
    <w:rsid w:val="00931620"/>
    <w:rsid w:val="00935EEE"/>
    <w:rsid w:val="00936F98"/>
    <w:rsid w:val="00937C7D"/>
    <w:rsid w:val="009401E5"/>
    <w:rsid w:val="00940B3F"/>
    <w:rsid w:val="0094325F"/>
    <w:rsid w:val="00947817"/>
    <w:rsid w:val="009479E7"/>
    <w:rsid w:val="00951D6C"/>
    <w:rsid w:val="00951E06"/>
    <w:rsid w:val="00952BDA"/>
    <w:rsid w:val="009534DD"/>
    <w:rsid w:val="0095392B"/>
    <w:rsid w:val="009559FA"/>
    <w:rsid w:val="00957676"/>
    <w:rsid w:val="00961692"/>
    <w:rsid w:val="00961789"/>
    <w:rsid w:val="00962EDB"/>
    <w:rsid w:val="00963D71"/>
    <w:rsid w:val="009658D9"/>
    <w:rsid w:val="00965FA6"/>
    <w:rsid w:val="009663B7"/>
    <w:rsid w:val="009669C4"/>
    <w:rsid w:val="00966A7F"/>
    <w:rsid w:val="00966F73"/>
    <w:rsid w:val="00967329"/>
    <w:rsid w:val="00967DFE"/>
    <w:rsid w:val="00970FD3"/>
    <w:rsid w:val="00971663"/>
    <w:rsid w:val="00971EE6"/>
    <w:rsid w:val="009721C7"/>
    <w:rsid w:val="009724D1"/>
    <w:rsid w:val="00972B4C"/>
    <w:rsid w:val="00975315"/>
    <w:rsid w:val="0097584A"/>
    <w:rsid w:val="009766B1"/>
    <w:rsid w:val="0097759B"/>
    <w:rsid w:val="009800DC"/>
    <w:rsid w:val="00980273"/>
    <w:rsid w:val="009814F7"/>
    <w:rsid w:val="00984AB9"/>
    <w:rsid w:val="00986C64"/>
    <w:rsid w:val="009915EA"/>
    <w:rsid w:val="00992616"/>
    <w:rsid w:val="00992857"/>
    <w:rsid w:val="00993658"/>
    <w:rsid w:val="00993E94"/>
    <w:rsid w:val="00995184"/>
    <w:rsid w:val="00995FCF"/>
    <w:rsid w:val="009A01F8"/>
    <w:rsid w:val="009A2868"/>
    <w:rsid w:val="009A2F25"/>
    <w:rsid w:val="009A61EA"/>
    <w:rsid w:val="009A66E2"/>
    <w:rsid w:val="009A68BA"/>
    <w:rsid w:val="009A7CC6"/>
    <w:rsid w:val="009B042C"/>
    <w:rsid w:val="009B4BCF"/>
    <w:rsid w:val="009B5CB7"/>
    <w:rsid w:val="009B5F93"/>
    <w:rsid w:val="009B7747"/>
    <w:rsid w:val="009C2A4C"/>
    <w:rsid w:val="009C3867"/>
    <w:rsid w:val="009C77A2"/>
    <w:rsid w:val="009C7D9D"/>
    <w:rsid w:val="009D4DA2"/>
    <w:rsid w:val="009D627B"/>
    <w:rsid w:val="009D7C40"/>
    <w:rsid w:val="009D7D46"/>
    <w:rsid w:val="009D7FCA"/>
    <w:rsid w:val="009E278B"/>
    <w:rsid w:val="009E2E4E"/>
    <w:rsid w:val="009E32D3"/>
    <w:rsid w:val="009E5A5F"/>
    <w:rsid w:val="009E63C8"/>
    <w:rsid w:val="009E7734"/>
    <w:rsid w:val="009F075D"/>
    <w:rsid w:val="009F0CB1"/>
    <w:rsid w:val="009F36F7"/>
    <w:rsid w:val="009F4B39"/>
    <w:rsid w:val="009F58E6"/>
    <w:rsid w:val="00A007E8"/>
    <w:rsid w:val="00A01374"/>
    <w:rsid w:val="00A03D82"/>
    <w:rsid w:val="00A055E0"/>
    <w:rsid w:val="00A05998"/>
    <w:rsid w:val="00A05C7D"/>
    <w:rsid w:val="00A06C02"/>
    <w:rsid w:val="00A06FFB"/>
    <w:rsid w:val="00A12AC9"/>
    <w:rsid w:val="00A142C8"/>
    <w:rsid w:val="00A14B45"/>
    <w:rsid w:val="00A1528E"/>
    <w:rsid w:val="00A158CB"/>
    <w:rsid w:val="00A15FFE"/>
    <w:rsid w:val="00A173ED"/>
    <w:rsid w:val="00A175E4"/>
    <w:rsid w:val="00A21FCF"/>
    <w:rsid w:val="00A22933"/>
    <w:rsid w:val="00A2473B"/>
    <w:rsid w:val="00A24C03"/>
    <w:rsid w:val="00A24C23"/>
    <w:rsid w:val="00A254B4"/>
    <w:rsid w:val="00A2689E"/>
    <w:rsid w:val="00A27E0A"/>
    <w:rsid w:val="00A27ED3"/>
    <w:rsid w:val="00A31BF7"/>
    <w:rsid w:val="00A335E0"/>
    <w:rsid w:val="00A33ACB"/>
    <w:rsid w:val="00A36FCB"/>
    <w:rsid w:val="00A37D4D"/>
    <w:rsid w:val="00A41A97"/>
    <w:rsid w:val="00A51E41"/>
    <w:rsid w:val="00A52BF5"/>
    <w:rsid w:val="00A543C8"/>
    <w:rsid w:val="00A5703C"/>
    <w:rsid w:val="00A61740"/>
    <w:rsid w:val="00A629D9"/>
    <w:rsid w:val="00A64CBB"/>
    <w:rsid w:val="00A66634"/>
    <w:rsid w:val="00A666A2"/>
    <w:rsid w:val="00A676FB"/>
    <w:rsid w:val="00A70287"/>
    <w:rsid w:val="00A73C5C"/>
    <w:rsid w:val="00A75820"/>
    <w:rsid w:val="00A75A2F"/>
    <w:rsid w:val="00A76B7B"/>
    <w:rsid w:val="00A77317"/>
    <w:rsid w:val="00A80796"/>
    <w:rsid w:val="00A80A3F"/>
    <w:rsid w:val="00A80BC9"/>
    <w:rsid w:val="00A80FDE"/>
    <w:rsid w:val="00A82CE3"/>
    <w:rsid w:val="00A84459"/>
    <w:rsid w:val="00A850FD"/>
    <w:rsid w:val="00A91869"/>
    <w:rsid w:val="00A94343"/>
    <w:rsid w:val="00A945C6"/>
    <w:rsid w:val="00A96FB7"/>
    <w:rsid w:val="00AA2857"/>
    <w:rsid w:val="00AA3A8F"/>
    <w:rsid w:val="00AA4C36"/>
    <w:rsid w:val="00AA6226"/>
    <w:rsid w:val="00AA68E3"/>
    <w:rsid w:val="00AB0226"/>
    <w:rsid w:val="00AB062F"/>
    <w:rsid w:val="00AB244A"/>
    <w:rsid w:val="00AB58DF"/>
    <w:rsid w:val="00AC299E"/>
    <w:rsid w:val="00AC2E95"/>
    <w:rsid w:val="00AC4A1E"/>
    <w:rsid w:val="00AC608C"/>
    <w:rsid w:val="00AC73C9"/>
    <w:rsid w:val="00AD087B"/>
    <w:rsid w:val="00AD2FF9"/>
    <w:rsid w:val="00AD367B"/>
    <w:rsid w:val="00AD3AE8"/>
    <w:rsid w:val="00AD796C"/>
    <w:rsid w:val="00AE025F"/>
    <w:rsid w:val="00AE0B1D"/>
    <w:rsid w:val="00AE11FB"/>
    <w:rsid w:val="00AE2ACC"/>
    <w:rsid w:val="00AE7135"/>
    <w:rsid w:val="00AF1BA5"/>
    <w:rsid w:val="00AF2244"/>
    <w:rsid w:val="00AF361F"/>
    <w:rsid w:val="00AF45D8"/>
    <w:rsid w:val="00B005A2"/>
    <w:rsid w:val="00B02A2C"/>
    <w:rsid w:val="00B03C7D"/>
    <w:rsid w:val="00B1223A"/>
    <w:rsid w:val="00B130DF"/>
    <w:rsid w:val="00B13CDF"/>
    <w:rsid w:val="00B15EE1"/>
    <w:rsid w:val="00B177C4"/>
    <w:rsid w:val="00B26C8F"/>
    <w:rsid w:val="00B27351"/>
    <w:rsid w:val="00B301C7"/>
    <w:rsid w:val="00B31235"/>
    <w:rsid w:val="00B32940"/>
    <w:rsid w:val="00B36418"/>
    <w:rsid w:val="00B37396"/>
    <w:rsid w:val="00B400D8"/>
    <w:rsid w:val="00B43A69"/>
    <w:rsid w:val="00B46BB6"/>
    <w:rsid w:val="00B47395"/>
    <w:rsid w:val="00B504DE"/>
    <w:rsid w:val="00B5095F"/>
    <w:rsid w:val="00B5114D"/>
    <w:rsid w:val="00B546AA"/>
    <w:rsid w:val="00B54CF9"/>
    <w:rsid w:val="00B56F16"/>
    <w:rsid w:val="00B57249"/>
    <w:rsid w:val="00B57F50"/>
    <w:rsid w:val="00B61250"/>
    <w:rsid w:val="00B61DEE"/>
    <w:rsid w:val="00B62D46"/>
    <w:rsid w:val="00B6309B"/>
    <w:rsid w:val="00B6483D"/>
    <w:rsid w:val="00B66169"/>
    <w:rsid w:val="00B67556"/>
    <w:rsid w:val="00B67FEC"/>
    <w:rsid w:val="00B703F6"/>
    <w:rsid w:val="00B713FE"/>
    <w:rsid w:val="00B721D4"/>
    <w:rsid w:val="00B73530"/>
    <w:rsid w:val="00B75E42"/>
    <w:rsid w:val="00B75EDE"/>
    <w:rsid w:val="00B766A8"/>
    <w:rsid w:val="00B77A37"/>
    <w:rsid w:val="00B77B2F"/>
    <w:rsid w:val="00B81628"/>
    <w:rsid w:val="00B868A0"/>
    <w:rsid w:val="00B90C31"/>
    <w:rsid w:val="00B90EDF"/>
    <w:rsid w:val="00B9165C"/>
    <w:rsid w:val="00B91E6F"/>
    <w:rsid w:val="00B95E2A"/>
    <w:rsid w:val="00BA2485"/>
    <w:rsid w:val="00BA7BC4"/>
    <w:rsid w:val="00BB0663"/>
    <w:rsid w:val="00BB0E09"/>
    <w:rsid w:val="00BB2174"/>
    <w:rsid w:val="00BB3E12"/>
    <w:rsid w:val="00BB48C2"/>
    <w:rsid w:val="00BB52EC"/>
    <w:rsid w:val="00BB645F"/>
    <w:rsid w:val="00BC215A"/>
    <w:rsid w:val="00BC2CE3"/>
    <w:rsid w:val="00BC5A97"/>
    <w:rsid w:val="00BD15BC"/>
    <w:rsid w:val="00BD217C"/>
    <w:rsid w:val="00BD2572"/>
    <w:rsid w:val="00BD3603"/>
    <w:rsid w:val="00BD4B19"/>
    <w:rsid w:val="00BD51F2"/>
    <w:rsid w:val="00BD691F"/>
    <w:rsid w:val="00BD72C2"/>
    <w:rsid w:val="00BD7A4B"/>
    <w:rsid w:val="00BD7A63"/>
    <w:rsid w:val="00BE303A"/>
    <w:rsid w:val="00BE3854"/>
    <w:rsid w:val="00BE3B8B"/>
    <w:rsid w:val="00BE3E14"/>
    <w:rsid w:val="00BE4D0B"/>
    <w:rsid w:val="00BF0324"/>
    <w:rsid w:val="00BF3FE7"/>
    <w:rsid w:val="00BF5D51"/>
    <w:rsid w:val="00BF6FE0"/>
    <w:rsid w:val="00C0008A"/>
    <w:rsid w:val="00C02889"/>
    <w:rsid w:val="00C0321A"/>
    <w:rsid w:val="00C03D52"/>
    <w:rsid w:val="00C04701"/>
    <w:rsid w:val="00C0761E"/>
    <w:rsid w:val="00C07A7B"/>
    <w:rsid w:val="00C07ACD"/>
    <w:rsid w:val="00C104C6"/>
    <w:rsid w:val="00C10696"/>
    <w:rsid w:val="00C10EEF"/>
    <w:rsid w:val="00C11825"/>
    <w:rsid w:val="00C14A9A"/>
    <w:rsid w:val="00C14CEA"/>
    <w:rsid w:val="00C15F68"/>
    <w:rsid w:val="00C16121"/>
    <w:rsid w:val="00C17B14"/>
    <w:rsid w:val="00C20C5E"/>
    <w:rsid w:val="00C2108B"/>
    <w:rsid w:val="00C23773"/>
    <w:rsid w:val="00C23AF2"/>
    <w:rsid w:val="00C25A6F"/>
    <w:rsid w:val="00C3148B"/>
    <w:rsid w:val="00C322D3"/>
    <w:rsid w:val="00C3259B"/>
    <w:rsid w:val="00C3403B"/>
    <w:rsid w:val="00C34EF6"/>
    <w:rsid w:val="00C353ED"/>
    <w:rsid w:val="00C37D42"/>
    <w:rsid w:val="00C40BFB"/>
    <w:rsid w:val="00C40F8D"/>
    <w:rsid w:val="00C42605"/>
    <w:rsid w:val="00C43D2F"/>
    <w:rsid w:val="00C506D0"/>
    <w:rsid w:val="00C50945"/>
    <w:rsid w:val="00C51963"/>
    <w:rsid w:val="00C53270"/>
    <w:rsid w:val="00C5460A"/>
    <w:rsid w:val="00C55488"/>
    <w:rsid w:val="00C55CC8"/>
    <w:rsid w:val="00C601AE"/>
    <w:rsid w:val="00C6146C"/>
    <w:rsid w:val="00C615CA"/>
    <w:rsid w:val="00C6216B"/>
    <w:rsid w:val="00C625EB"/>
    <w:rsid w:val="00C63293"/>
    <w:rsid w:val="00C7046C"/>
    <w:rsid w:val="00C73198"/>
    <w:rsid w:val="00C744CD"/>
    <w:rsid w:val="00C7471B"/>
    <w:rsid w:val="00C77319"/>
    <w:rsid w:val="00C775C1"/>
    <w:rsid w:val="00C81695"/>
    <w:rsid w:val="00C85774"/>
    <w:rsid w:val="00C85CDC"/>
    <w:rsid w:val="00C86326"/>
    <w:rsid w:val="00C8676A"/>
    <w:rsid w:val="00C87043"/>
    <w:rsid w:val="00C90188"/>
    <w:rsid w:val="00C93FE7"/>
    <w:rsid w:val="00C9688E"/>
    <w:rsid w:val="00CA0B48"/>
    <w:rsid w:val="00CA19EF"/>
    <w:rsid w:val="00CA1F86"/>
    <w:rsid w:val="00CA2C70"/>
    <w:rsid w:val="00CA454F"/>
    <w:rsid w:val="00CA4806"/>
    <w:rsid w:val="00CA4DA1"/>
    <w:rsid w:val="00CA6C28"/>
    <w:rsid w:val="00CB06DD"/>
    <w:rsid w:val="00CB0F79"/>
    <w:rsid w:val="00CB1F3C"/>
    <w:rsid w:val="00CB201E"/>
    <w:rsid w:val="00CB6101"/>
    <w:rsid w:val="00CB72B4"/>
    <w:rsid w:val="00CC05C9"/>
    <w:rsid w:val="00CC0E9B"/>
    <w:rsid w:val="00CC4060"/>
    <w:rsid w:val="00CC4291"/>
    <w:rsid w:val="00CC52C1"/>
    <w:rsid w:val="00CD0702"/>
    <w:rsid w:val="00CD1F43"/>
    <w:rsid w:val="00CD3998"/>
    <w:rsid w:val="00CD5334"/>
    <w:rsid w:val="00CE2DCC"/>
    <w:rsid w:val="00CE391B"/>
    <w:rsid w:val="00CE43B8"/>
    <w:rsid w:val="00CF3CB5"/>
    <w:rsid w:val="00CF6336"/>
    <w:rsid w:val="00D02FF5"/>
    <w:rsid w:val="00D05AA8"/>
    <w:rsid w:val="00D05DC1"/>
    <w:rsid w:val="00D05FAF"/>
    <w:rsid w:val="00D10E64"/>
    <w:rsid w:val="00D12909"/>
    <w:rsid w:val="00D20782"/>
    <w:rsid w:val="00D213D0"/>
    <w:rsid w:val="00D232EF"/>
    <w:rsid w:val="00D245FB"/>
    <w:rsid w:val="00D2485E"/>
    <w:rsid w:val="00D24914"/>
    <w:rsid w:val="00D26BB0"/>
    <w:rsid w:val="00D326A5"/>
    <w:rsid w:val="00D32AA1"/>
    <w:rsid w:val="00D332D3"/>
    <w:rsid w:val="00D34276"/>
    <w:rsid w:val="00D42D15"/>
    <w:rsid w:val="00D43B7F"/>
    <w:rsid w:val="00D4417A"/>
    <w:rsid w:val="00D45E46"/>
    <w:rsid w:val="00D46C25"/>
    <w:rsid w:val="00D47955"/>
    <w:rsid w:val="00D51068"/>
    <w:rsid w:val="00D514C8"/>
    <w:rsid w:val="00D52333"/>
    <w:rsid w:val="00D531C2"/>
    <w:rsid w:val="00D537B8"/>
    <w:rsid w:val="00D539B2"/>
    <w:rsid w:val="00D53AD0"/>
    <w:rsid w:val="00D54013"/>
    <w:rsid w:val="00D549CB"/>
    <w:rsid w:val="00D5695C"/>
    <w:rsid w:val="00D56AC2"/>
    <w:rsid w:val="00D608EE"/>
    <w:rsid w:val="00D61B33"/>
    <w:rsid w:val="00D62CBE"/>
    <w:rsid w:val="00D63421"/>
    <w:rsid w:val="00D635D2"/>
    <w:rsid w:val="00D63DFC"/>
    <w:rsid w:val="00D64ACC"/>
    <w:rsid w:val="00D65324"/>
    <w:rsid w:val="00D71046"/>
    <w:rsid w:val="00D71D20"/>
    <w:rsid w:val="00D75C4B"/>
    <w:rsid w:val="00D77448"/>
    <w:rsid w:val="00D8005A"/>
    <w:rsid w:val="00D816B7"/>
    <w:rsid w:val="00D816EB"/>
    <w:rsid w:val="00D831CF"/>
    <w:rsid w:val="00D84F30"/>
    <w:rsid w:val="00D86120"/>
    <w:rsid w:val="00D93FD7"/>
    <w:rsid w:val="00D967CE"/>
    <w:rsid w:val="00DA094B"/>
    <w:rsid w:val="00DA26A1"/>
    <w:rsid w:val="00DA30B6"/>
    <w:rsid w:val="00DA3EF3"/>
    <w:rsid w:val="00DA4136"/>
    <w:rsid w:val="00DA582A"/>
    <w:rsid w:val="00DB1BC9"/>
    <w:rsid w:val="00DB2513"/>
    <w:rsid w:val="00DB475F"/>
    <w:rsid w:val="00DB6E96"/>
    <w:rsid w:val="00DB75D2"/>
    <w:rsid w:val="00DC2968"/>
    <w:rsid w:val="00DC2FD7"/>
    <w:rsid w:val="00DC4BD7"/>
    <w:rsid w:val="00DC4CCC"/>
    <w:rsid w:val="00DC5528"/>
    <w:rsid w:val="00DC79F6"/>
    <w:rsid w:val="00DD015D"/>
    <w:rsid w:val="00DD1B9A"/>
    <w:rsid w:val="00DD2F26"/>
    <w:rsid w:val="00DD4957"/>
    <w:rsid w:val="00DE11EC"/>
    <w:rsid w:val="00DE1707"/>
    <w:rsid w:val="00DE563D"/>
    <w:rsid w:val="00DF1BA8"/>
    <w:rsid w:val="00DF2FC3"/>
    <w:rsid w:val="00DF39BC"/>
    <w:rsid w:val="00DF3B66"/>
    <w:rsid w:val="00DF572C"/>
    <w:rsid w:val="00E01112"/>
    <w:rsid w:val="00E03E76"/>
    <w:rsid w:val="00E04CFA"/>
    <w:rsid w:val="00E100A3"/>
    <w:rsid w:val="00E1015E"/>
    <w:rsid w:val="00E1062E"/>
    <w:rsid w:val="00E11366"/>
    <w:rsid w:val="00E11F5A"/>
    <w:rsid w:val="00E12EEC"/>
    <w:rsid w:val="00E131E4"/>
    <w:rsid w:val="00E20B92"/>
    <w:rsid w:val="00E20F6C"/>
    <w:rsid w:val="00E21EF9"/>
    <w:rsid w:val="00E22036"/>
    <w:rsid w:val="00E23777"/>
    <w:rsid w:val="00E27DF5"/>
    <w:rsid w:val="00E30726"/>
    <w:rsid w:val="00E30C49"/>
    <w:rsid w:val="00E33F19"/>
    <w:rsid w:val="00E34190"/>
    <w:rsid w:val="00E341D1"/>
    <w:rsid w:val="00E35CD1"/>
    <w:rsid w:val="00E3748E"/>
    <w:rsid w:val="00E406B7"/>
    <w:rsid w:val="00E4114B"/>
    <w:rsid w:val="00E45342"/>
    <w:rsid w:val="00E4534C"/>
    <w:rsid w:val="00E4734A"/>
    <w:rsid w:val="00E473DC"/>
    <w:rsid w:val="00E4787C"/>
    <w:rsid w:val="00E47C32"/>
    <w:rsid w:val="00E51921"/>
    <w:rsid w:val="00E5194B"/>
    <w:rsid w:val="00E52BA2"/>
    <w:rsid w:val="00E5330C"/>
    <w:rsid w:val="00E55217"/>
    <w:rsid w:val="00E570B2"/>
    <w:rsid w:val="00E57B4C"/>
    <w:rsid w:val="00E6085B"/>
    <w:rsid w:val="00E647E2"/>
    <w:rsid w:val="00E66869"/>
    <w:rsid w:val="00E71C99"/>
    <w:rsid w:val="00E724F4"/>
    <w:rsid w:val="00E73B26"/>
    <w:rsid w:val="00E74DDF"/>
    <w:rsid w:val="00E81088"/>
    <w:rsid w:val="00E8284D"/>
    <w:rsid w:val="00E82D80"/>
    <w:rsid w:val="00E8312E"/>
    <w:rsid w:val="00E84F5E"/>
    <w:rsid w:val="00E85523"/>
    <w:rsid w:val="00E858C3"/>
    <w:rsid w:val="00E85981"/>
    <w:rsid w:val="00E86550"/>
    <w:rsid w:val="00E87681"/>
    <w:rsid w:val="00E90718"/>
    <w:rsid w:val="00E908EB"/>
    <w:rsid w:val="00E94B0C"/>
    <w:rsid w:val="00E9511B"/>
    <w:rsid w:val="00E9739D"/>
    <w:rsid w:val="00E97D2F"/>
    <w:rsid w:val="00EA44F1"/>
    <w:rsid w:val="00EA4823"/>
    <w:rsid w:val="00EA4FF9"/>
    <w:rsid w:val="00EA70AE"/>
    <w:rsid w:val="00EC04B0"/>
    <w:rsid w:val="00EC0B96"/>
    <w:rsid w:val="00EC12D9"/>
    <w:rsid w:val="00EC250A"/>
    <w:rsid w:val="00EC35C9"/>
    <w:rsid w:val="00EC4C16"/>
    <w:rsid w:val="00EC5980"/>
    <w:rsid w:val="00EC6E0F"/>
    <w:rsid w:val="00ED0105"/>
    <w:rsid w:val="00ED1277"/>
    <w:rsid w:val="00ED3437"/>
    <w:rsid w:val="00ED3C66"/>
    <w:rsid w:val="00ED4D0E"/>
    <w:rsid w:val="00ED5A4E"/>
    <w:rsid w:val="00ED62BC"/>
    <w:rsid w:val="00EE2AAB"/>
    <w:rsid w:val="00EE796A"/>
    <w:rsid w:val="00EE7F76"/>
    <w:rsid w:val="00EF0FFA"/>
    <w:rsid w:val="00EF1910"/>
    <w:rsid w:val="00EF2248"/>
    <w:rsid w:val="00EF22BD"/>
    <w:rsid w:val="00EF312C"/>
    <w:rsid w:val="00EF469F"/>
    <w:rsid w:val="00EF6EC4"/>
    <w:rsid w:val="00EF71F8"/>
    <w:rsid w:val="00EF78BC"/>
    <w:rsid w:val="00F00667"/>
    <w:rsid w:val="00F00CE6"/>
    <w:rsid w:val="00F04A55"/>
    <w:rsid w:val="00F051B4"/>
    <w:rsid w:val="00F055CE"/>
    <w:rsid w:val="00F059D6"/>
    <w:rsid w:val="00F07194"/>
    <w:rsid w:val="00F11599"/>
    <w:rsid w:val="00F13F39"/>
    <w:rsid w:val="00F14015"/>
    <w:rsid w:val="00F14533"/>
    <w:rsid w:val="00F14F2C"/>
    <w:rsid w:val="00F15121"/>
    <w:rsid w:val="00F15568"/>
    <w:rsid w:val="00F16CCB"/>
    <w:rsid w:val="00F17481"/>
    <w:rsid w:val="00F178D6"/>
    <w:rsid w:val="00F20F5D"/>
    <w:rsid w:val="00F243B2"/>
    <w:rsid w:val="00F270D7"/>
    <w:rsid w:val="00F31A87"/>
    <w:rsid w:val="00F31B7C"/>
    <w:rsid w:val="00F31D0D"/>
    <w:rsid w:val="00F3703C"/>
    <w:rsid w:val="00F37537"/>
    <w:rsid w:val="00F408AE"/>
    <w:rsid w:val="00F41338"/>
    <w:rsid w:val="00F41A99"/>
    <w:rsid w:val="00F420CC"/>
    <w:rsid w:val="00F44752"/>
    <w:rsid w:val="00F47B19"/>
    <w:rsid w:val="00F521C5"/>
    <w:rsid w:val="00F52A3B"/>
    <w:rsid w:val="00F53193"/>
    <w:rsid w:val="00F559EC"/>
    <w:rsid w:val="00F56749"/>
    <w:rsid w:val="00F575E8"/>
    <w:rsid w:val="00F57D44"/>
    <w:rsid w:val="00F603DF"/>
    <w:rsid w:val="00F60EB9"/>
    <w:rsid w:val="00F620B2"/>
    <w:rsid w:val="00F62FB7"/>
    <w:rsid w:val="00F658A3"/>
    <w:rsid w:val="00F67865"/>
    <w:rsid w:val="00F705AA"/>
    <w:rsid w:val="00F726C4"/>
    <w:rsid w:val="00F72D9B"/>
    <w:rsid w:val="00F741DE"/>
    <w:rsid w:val="00F7551A"/>
    <w:rsid w:val="00F769D2"/>
    <w:rsid w:val="00F770FA"/>
    <w:rsid w:val="00F81E19"/>
    <w:rsid w:val="00F84CBD"/>
    <w:rsid w:val="00F867D8"/>
    <w:rsid w:val="00F86837"/>
    <w:rsid w:val="00F96313"/>
    <w:rsid w:val="00F973FC"/>
    <w:rsid w:val="00FA0251"/>
    <w:rsid w:val="00FA3752"/>
    <w:rsid w:val="00FA3EC7"/>
    <w:rsid w:val="00FA6877"/>
    <w:rsid w:val="00FB00D5"/>
    <w:rsid w:val="00FB0FEE"/>
    <w:rsid w:val="00FB136B"/>
    <w:rsid w:val="00FB325F"/>
    <w:rsid w:val="00FC79AF"/>
    <w:rsid w:val="00FC7DC5"/>
    <w:rsid w:val="00FD109D"/>
    <w:rsid w:val="00FD10EB"/>
    <w:rsid w:val="00FD4D2D"/>
    <w:rsid w:val="00FD6CA2"/>
    <w:rsid w:val="00FD7591"/>
    <w:rsid w:val="00FE1920"/>
    <w:rsid w:val="00FF3893"/>
    <w:rsid w:val="00FF3BF8"/>
    <w:rsid w:val="00FF4268"/>
    <w:rsid w:val="00FF73F9"/>
    <w:rsid w:val="00FF7D8E"/>
    <w:rsid w:val="36802C9E"/>
    <w:rsid w:val="69825B1A"/>
    <w:rsid w:val="6F7D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Arial Unicode MS" w:hAnsi="Arial Unicode MS" w:eastAsia="Arial Unicode MS" w:cs="Arial Unicode MS"/>
      <w:color w:val="000000"/>
      <w:sz w:val="24"/>
      <w:szCs w:val="24"/>
      <w:lang w:val="ru" w:eastAsia="ru-RU" w:bidi="ar-SA"/>
    </w:rPr>
  </w:style>
  <w:style w:type="paragraph" w:styleId="2">
    <w:name w:val="heading 1"/>
    <w:basedOn w:val="1"/>
    <w:next w:val="1"/>
    <w:link w:val="17"/>
    <w:qFormat/>
    <w:uiPriority w:val="9"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color w:val="auto"/>
      <w:kern w:val="36"/>
      <w:sz w:val="48"/>
      <w:szCs w:val="48"/>
      <w:lang w:val="ru-RU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4">
    <w:name w:val="annotation text"/>
    <w:basedOn w:val="1"/>
    <w:link w:val="20"/>
    <w:semiHidden/>
    <w:unhideWhenUsed/>
    <w:uiPriority w:val="99"/>
    <w:rPr>
      <w:sz w:val="20"/>
      <w:szCs w:val="20"/>
    </w:rPr>
  </w:style>
  <w:style w:type="paragraph" w:styleId="5">
    <w:name w:val="annotation subject"/>
    <w:basedOn w:val="4"/>
    <w:next w:val="4"/>
    <w:link w:val="21"/>
    <w:semiHidden/>
    <w:unhideWhenUsed/>
    <w:uiPriority w:val="99"/>
    <w:rPr>
      <w:b/>
      <w:bCs/>
    </w:rPr>
  </w:style>
  <w:style w:type="paragraph" w:styleId="6">
    <w:name w:val="header"/>
    <w:basedOn w:val="1"/>
    <w:link w:val="18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footer"/>
    <w:basedOn w:val="1"/>
    <w:link w:val="19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lang w:val="ru-RU"/>
    </w:rPr>
  </w:style>
  <w:style w:type="character" w:styleId="10">
    <w:name w:val="annotation reference"/>
    <w:basedOn w:val="9"/>
    <w:semiHidden/>
    <w:unhideWhenUsed/>
    <w:uiPriority w:val="99"/>
    <w:rPr>
      <w:sz w:val="16"/>
      <w:szCs w:val="16"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widowControl w:val="0"/>
      <w:suppressAutoHyphens/>
      <w:ind w:left="720"/>
      <w:contextualSpacing/>
    </w:pPr>
    <w:rPr>
      <w:rFonts w:ascii="Arial" w:hAnsi="Arial" w:eastAsia="Lucida Sans Unicode" w:cs="Times New Roman"/>
      <w:color w:val="auto"/>
      <w:kern w:val="2"/>
      <w:sz w:val="20"/>
      <w:lang w:val="ru-RU"/>
    </w:rPr>
  </w:style>
  <w:style w:type="character" w:customStyle="1" w:styleId="14">
    <w:name w:val="Текст выноски Знак"/>
    <w:basedOn w:val="9"/>
    <w:link w:val="3"/>
    <w:semiHidden/>
    <w:uiPriority w:val="99"/>
    <w:rPr>
      <w:rFonts w:ascii="Tahoma" w:hAnsi="Tahoma" w:eastAsia="Arial Unicode MS" w:cs="Tahoma"/>
      <w:color w:val="000000"/>
      <w:sz w:val="16"/>
      <w:szCs w:val="16"/>
      <w:lang w:val="ru" w:eastAsia="ru-RU"/>
    </w:rPr>
  </w:style>
  <w:style w:type="paragraph" w:customStyle="1" w:styleId="15">
    <w:name w:val="formattext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lang w:val="ru-RU"/>
    </w:rPr>
  </w:style>
  <w:style w:type="paragraph" w:customStyle="1" w:styleId="16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17">
    <w:name w:val="Заголовок 1 Знак"/>
    <w:basedOn w:val="9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18">
    <w:name w:val="Верхний колонтитул Знак"/>
    <w:basedOn w:val="9"/>
    <w:link w:val="6"/>
    <w:uiPriority w:val="99"/>
    <w:rPr>
      <w:rFonts w:ascii="Arial Unicode MS" w:hAnsi="Arial Unicode MS" w:eastAsia="Arial Unicode MS" w:cs="Arial Unicode MS"/>
      <w:color w:val="000000"/>
      <w:sz w:val="24"/>
      <w:szCs w:val="24"/>
      <w:lang w:val="ru" w:eastAsia="ru-RU"/>
    </w:rPr>
  </w:style>
  <w:style w:type="character" w:customStyle="1" w:styleId="19">
    <w:name w:val="Нижний колонтитул Знак"/>
    <w:basedOn w:val="9"/>
    <w:link w:val="7"/>
    <w:uiPriority w:val="99"/>
    <w:rPr>
      <w:rFonts w:ascii="Arial Unicode MS" w:hAnsi="Arial Unicode MS" w:eastAsia="Arial Unicode MS" w:cs="Arial Unicode MS"/>
      <w:color w:val="000000"/>
      <w:sz w:val="24"/>
      <w:szCs w:val="24"/>
      <w:lang w:val="ru" w:eastAsia="ru-RU"/>
    </w:rPr>
  </w:style>
  <w:style w:type="character" w:customStyle="1" w:styleId="20">
    <w:name w:val="Текст примечания Знак"/>
    <w:basedOn w:val="9"/>
    <w:link w:val="4"/>
    <w:semiHidden/>
    <w:uiPriority w:val="99"/>
    <w:rPr>
      <w:rFonts w:ascii="Arial Unicode MS" w:hAnsi="Arial Unicode MS" w:eastAsia="Arial Unicode MS" w:cs="Arial Unicode MS"/>
      <w:color w:val="000000"/>
      <w:sz w:val="20"/>
      <w:szCs w:val="20"/>
      <w:lang w:val="ru" w:eastAsia="ru-RU"/>
    </w:rPr>
  </w:style>
  <w:style w:type="character" w:customStyle="1" w:styleId="21">
    <w:name w:val="Тема примечания Знак"/>
    <w:basedOn w:val="20"/>
    <w:link w:val="5"/>
    <w:semiHidden/>
    <w:uiPriority w:val="99"/>
    <w:rPr>
      <w:rFonts w:ascii="Arial Unicode MS" w:hAnsi="Arial Unicode MS" w:eastAsia="Arial Unicode MS" w:cs="Arial Unicode MS"/>
      <w:b/>
      <w:bCs/>
      <w:color w:val="000000"/>
      <w:sz w:val="20"/>
      <w:szCs w:val="20"/>
      <w:lang w:val="ru"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B46CA1-2A52-4052-ADA8-EB448AAC29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22</Pages>
  <Words>10275</Words>
  <Characters>58568</Characters>
  <Lines>488</Lines>
  <Paragraphs>137</Paragraphs>
  <TotalTime>70</TotalTime>
  <ScaleCrop>false</ScaleCrop>
  <LinksUpToDate>false</LinksUpToDate>
  <CharactersWithSpaces>68706</CharactersWithSpaces>
  <Application>WPS Office_11.2.0.9327_F1E327BC-269C-435d-A152-05C5408002CA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2020-03-04T09:26:00Z</dcterms:created>
  <dc:creator>Schiroky</dc:creator>
  <cp:lastModifiedBy>pavel</cp:lastModifiedBy>
  <cp:lastPrinted>2020-03-23T08:17:00Z</cp:lastPrinted>
  <dcterms:modified xsi:type="dcterms:W3CDTF">2020-05-06T06:36:13Z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1049-11.2.0.9327</vt:lpwstr>
  </property>
</Properties>
</file>