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a9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2"/>
        <w:gridCol w:w="3966"/>
        <w:gridCol w:w="5538"/>
      </w:tblGrid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«Технология»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 Информационная безопасность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Ориентировочное время начала работ, Сроки исполнения работ </w:t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Начало: 30.12.2019г. Сроки: 25 календарных дней.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строительства (новое, реконструкция, техперевооружение)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Техперевооружение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Натуральные показатели объекта (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Замена существующего регистратора аварийных событий (РАС) на современный на ПС 110 кВ Поисево.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ПД, РД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ИБ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Технические требования к выполняемым работам </w:t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5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отдельный раздел рабочей документации «Подсистема информационной безопасности», в котором предусмотреть монтажные и пуско-наладочные работы проектируемой подсистемы ИБ.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разделе «Подсистема информационной безопасности» предусмотреть реализацию, в том числе следующих технических мер по защите информации: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Межсетевое экранирование сегментов сети подстанции с применением межсетевых экранов с «горячим» резервированием;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защищённых каналов связи с удалёнными АРМами.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Антивирусную защиту серверов и технологических АРМов с применением программного обеспечения Kaspersky Industrial Cybersecurtiy for Nodes;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передачи информации о выявленных инцидентах и угрозах ИБ в реальном времени в централизованную систему на базе программного обеспечения MaxPatrol SIEM.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описание архитектуры подсистемы безопасности проектируемой системы;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схему основного и резервного питания СЗИ;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схемы организации VPN-туннелей;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план IP-адресации;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схемы взаимодействия компонентов проектируемой подсистемы ИБ с сетевой инфраструктурой ОАО «Сетевая компания» (системами мониторинга, регистрации событий ИБ, SCADA системами, АСУ РЗА и ПА, системами резервного копирования и т.п.) с указанием протоколов взаимодействия, моделей активного сетевого оборудования, форматов передачи данных, адресации сегментов ЛВС и СПД, VPN туннелей;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матрицу информационных потоков, циркулирующих как внутри подсистемы ИБ проектируемого РАС, так и входящих, и выходящих за пределы этой подсистемы: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проектируемой подстанции;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назначение ИП;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ИП (основной/резервный);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IP адрес источника информации; направление ИП;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интерфейс/скорость передачи (кбит/с);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сигнализация/протокол;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программные порты назначения/протокол;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IP адрес приёмника информации;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VLAN;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диапазон IP-адресов VLAN;</w:t>
            </w:r>
          </w:p>
          <w:p>
            <w:pPr>
              <w:pStyle w:val="Normal"/>
              <w:numPr>
                <w:ilvl w:val="0"/>
                <w:numId w:val="2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оборудование, на котором терминирован VLAN (тип, месторасположение).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4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схему(ы) информационных потоков между пользователями, администратором РАС и непосредственно циркулирующих в РАС.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логические схемы с учётом сегментации локальной вычислительной сети (ЛВС) и сети передачи данных (СПД) с IP-адресацией, через которые организуется взаимодействие РАС с внешними информационными системами и взаимодействие составных частей РАС между собой.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Выполнить перечень сведений о проектируемых технологических серверах и АРМах (при наличии) данные с которых подлежат резервному копированию с указанием: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сетевого имени;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типа сервера (физический, виртуальный), АРМа;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типа и версии ОС;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роли сервера (АРМа);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объекта резервного копирования (образ системы целиком, конфигурационные файлы, БД и т.д.);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типа и версии используемой СУБД/приложений;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места расположения объектов резервного копирования на файловой системе сервера (АРМа);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 ли BMR (Bare Metal Restore) для клиента; периодичности резервного копирования;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временного окна резервного копирования;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адреса (наименования площадки) расположения сервера (АРМа);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tabs>
                <w:tab w:val="clear" w:pos="708"/>
                <w:tab w:val="left" w:pos="609" w:leader="none"/>
              </w:tabs>
              <w:spacing w:lineRule="auto" w:line="240" w:before="0" w:after="0"/>
              <w:ind w:left="32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объёма данных подлежащих резервному копированию.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Определить требования к параметрам настройки программных и программно-аппаратных средств, включая средства защиты информации, обеспечивающие реализацию мер по обеспечению безопасности, блокирование (нейтрализацию) угроз безопасности информации и устранение уязвимостей РАС, АРМ, а также систем  МП УРЗА;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порядок и параметры настройки программных и программно-аппаратных средств, в том числе средств защиты информации;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правила эксплуатации программных и программно-аппаратных средств, в том числе средств защиты информации (правила безопасной эксплуатации);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схемы размещения СЗИ в телекоммуникационном(ых) шкафу(ах) на проектируемых площадках;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спецификацию оборудования и программного обеспечения;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программу и методику предварительных испытаний;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программу опытной эксплуатации;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Разработать программу и методику приёмочных испытаний.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организационные и технические меры по обеспечению безопасности не должны оказывать негативного влияния на создание и функционирование защищаемых информационных систем и информационно-телекоммуникационного оборудования.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создании подсистемы ИБ необходимо максимально использовать возможности существующего оборудования в том числе и на смежных площадках проектирования.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определении требований к параметрам настройки подсистем резервного копирования технологических серверов и АРМов (при наличии) рассмотреть в качестве места хранения данных систему резервного копирования, размещённую в управлении филиала или управления СК.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обеспечения технических мер по защите информации защищаемых систем должны применяться сертифицированные ФСТЭК России СЗИ или средства, прошедшие оценку соответствия в форме испытаний или приёмки в соответствии с Федеральным законом от 27.12.2002 №184-ФЗ «О техническом регулировании».</w:t>
            </w:r>
          </w:p>
          <w:p>
            <w:pPr>
              <w:pStyle w:val="Normal"/>
              <w:numPr>
                <w:ilvl w:val="2"/>
                <w:numId w:val="4"/>
              </w:numPr>
              <w:shd w:val="clear" w:color="auto" w:fill="FFFFFF"/>
              <w:spacing w:lineRule="auto" w:line="240" w:before="0" w:after="0"/>
              <w:ind w:left="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организация должна обладать лицензией Федеральной Службы по техническому и экспортному контролю России на деятельность по технической защите конфиденциальной информации, включающей в себя следующие виды работ и услуг: проектирование в защищённом исполнении: средств и систем информатизации; помещений со средствами (системами) информатизации, подлежащими защите; защищаемых помещений.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100 000 руб. без НДС - для ООО/АО.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Стоимость работ в объявлении указана в базисе цен для юридических лиц.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Аванс – не более 10%.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Поэтапная оплата по итогам передачи на проверку промежуточных результатов работ</w:t>
            </w:r>
          </w:p>
        </w:tc>
      </w:tr>
      <w:tr>
        <w:trPr/>
        <w:tc>
          <w:tcPr>
            <w:tcW w:w="952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(ООО/АО/ИП)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выполнения аналогичных работ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4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8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0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4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6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04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44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8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0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4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6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04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9"/>
      <w:numFmt w:val="decimal"/>
      <w:lvlText w:val="%1.%2."/>
      <w:lvlJc w:val="left"/>
      <w:pPr>
        <w:ind w:left="458" w:hanging="360"/>
      </w:pPr>
    </w:lvl>
    <w:lvl w:ilvl="2">
      <w:start w:val="1"/>
      <w:numFmt w:val="decimal"/>
      <w:lvlText w:val="%1.%2.%3."/>
      <w:lvlJc w:val="left"/>
      <w:pPr>
        <w:ind w:left="4548" w:hanging="720"/>
      </w:pPr>
    </w:lvl>
    <w:lvl w:ilvl="3">
      <w:start w:val="1"/>
      <w:numFmt w:val="decimal"/>
      <w:lvlText w:val="%1.%2.%3.%4."/>
      <w:lvlJc w:val="left"/>
      <w:pPr>
        <w:ind w:left="1014" w:hanging="720"/>
      </w:pPr>
    </w:lvl>
    <w:lvl w:ilvl="4">
      <w:start w:val="1"/>
      <w:numFmt w:val="decimal"/>
      <w:lvlText w:val="%1.%2.%3.%4.%5."/>
      <w:lvlJc w:val="left"/>
      <w:pPr>
        <w:ind w:left="1472" w:hanging="1080"/>
      </w:pPr>
    </w:lvl>
    <w:lvl w:ilvl="5">
      <w:start w:val="1"/>
      <w:numFmt w:val="decimal"/>
      <w:lvlText w:val="%1.%2.%3.%4.%5.%6."/>
      <w:lvlJc w:val="left"/>
      <w:pPr>
        <w:ind w:left="1570" w:hanging="1080"/>
      </w:pPr>
    </w:lvl>
    <w:lvl w:ilvl="6">
      <w:start w:val="1"/>
      <w:numFmt w:val="decimal"/>
      <w:lvlText w:val="%1.%2.%3.%4.%5.%6.%7."/>
      <w:lvlJc w:val="left"/>
      <w:pPr>
        <w:ind w:left="2028" w:hanging="1440"/>
      </w:pPr>
    </w:lvl>
    <w:lvl w:ilvl="7">
      <w:start w:val="1"/>
      <w:numFmt w:val="decimal"/>
      <w:lvlText w:val="%1.%2.%3.%4.%5.%6.%7.%8."/>
      <w:lvlJc w:val="left"/>
      <w:pPr>
        <w:ind w:left="2126" w:hanging="1440"/>
      </w:pPr>
    </w:lvl>
    <w:lvl w:ilvl="8">
      <w:start w:val="1"/>
      <w:numFmt w:val="decimal"/>
      <w:lvlText w:val="%1.%2.%3.%4.%5.%6.%7.%8.%9."/>
      <w:lvlJc w:val="left"/>
      <w:pPr>
        <w:ind w:left="2584" w:hanging="180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54967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c"/>
    <w:uiPriority w:val="99"/>
    <w:semiHidden/>
    <w:qFormat/>
    <w:rsid w:val="00454967"/>
    <w:rPr>
      <w:szCs w:val="20"/>
    </w:rPr>
  </w:style>
  <w:style w:type="character" w:styleId="Style15" w:customStyle="1">
    <w:name w:val="Тема примечания Знак"/>
    <w:basedOn w:val="Style14"/>
    <w:link w:val="ae"/>
    <w:uiPriority w:val="99"/>
    <w:semiHidden/>
    <w:qFormat/>
    <w:rsid w:val="00454967"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af0"/>
    <w:uiPriority w:val="99"/>
    <w:semiHidden/>
    <w:qFormat/>
    <w:rsid w:val="00454967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ascii="Times New Roman" w:hAnsi="Times New Roman" w:cs="Symbol"/>
      <w:sz w:val="24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ascii="Times New Roman" w:hAnsi="Times New Roman" w:cs="Symbol"/>
      <w:sz w:val="24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67e73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fd240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Annotationtext">
    <w:name w:val="annotation text"/>
    <w:basedOn w:val="Normal"/>
    <w:link w:val="ad"/>
    <w:uiPriority w:val="99"/>
    <w:semiHidden/>
    <w:unhideWhenUsed/>
    <w:qFormat/>
    <w:rsid w:val="0045496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"/>
    <w:uiPriority w:val="99"/>
    <w:semiHidden/>
    <w:unhideWhenUsed/>
    <w:qFormat/>
    <w:rsid w:val="00454967"/>
    <w:pPr/>
    <w:rPr>
      <w:b/>
      <w:bCs/>
    </w:rPr>
  </w:style>
  <w:style w:type="paragraph" w:styleId="BalloonText">
    <w:name w:val="Balloon Text"/>
    <w:basedOn w:val="Normal"/>
    <w:link w:val="af1"/>
    <w:uiPriority w:val="99"/>
    <w:semiHidden/>
    <w:unhideWhenUsed/>
    <w:qFormat/>
    <w:rsid w:val="0045496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67e7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Application>LibreOffice/6.2.5.2$Windows_X86_64 LibreOffice_project/1ec314fa52f458adc18c4f025c545a4e8b22c159</Application>
  <Pages>4</Pages>
  <Words>838</Words>
  <Characters>6182</Characters>
  <CharactersWithSpaces>6882</CharactersWithSpaces>
  <Paragraphs>98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2020-09-10T16:10:39Z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